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E46B" w14:textId="77777777" w:rsidR="005D7251" w:rsidRPr="00EB7CA2" w:rsidRDefault="005D7251" w:rsidP="002C3153">
      <w:pPr>
        <w:tabs>
          <w:tab w:val="left" w:pos="4537"/>
        </w:tabs>
        <w:ind w:left="108"/>
      </w:pPr>
      <w:r w:rsidRPr="00EB7CA2">
        <w:rPr>
          <w:noProof/>
        </w:rPr>
        <w:drawing>
          <wp:anchor distT="0" distB="0" distL="114300" distR="114300" simplePos="0" relativeHeight="251658240" behindDoc="0" locked="0" layoutInCell="1" allowOverlap="1" wp14:anchorId="519BCBA1" wp14:editId="4E2FE49F">
            <wp:simplePos x="0" y="0"/>
            <wp:positionH relativeFrom="margin">
              <wp:align>left</wp:align>
            </wp:positionH>
            <wp:positionV relativeFrom="paragraph">
              <wp:posOffset>139121</wp:posOffset>
            </wp:positionV>
            <wp:extent cx="3219450" cy="685800"/>
            <wp:effectExtent l="0" t="0" r="0" b="0"/>
            <wp:wrapSquare wrapText="bothSides"/>
            <wp:docPr id="3" name="Picture 3" descr="cid:image002.png@01D65F6E.A4475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id:image002.png@01D65F6E.A4475D7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2500" b="12500"/>
                    <a:stretch/>
                  </pic:blipFill>
                  <pic:spPr bwMode="auto">
                    <a:xfrm>
                      <a:off x="0" y="0"/>
                      <a:ext cx="3219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68225" w14:textId="27D92AB1" w:rsidR="00DA5179" w:rsidRPr="00EB7CA2" w:rsidRDefault="00DA5179" w:rsidP="00E6561E">
      <w:pPr>
        <w:pStyle w:val="Title"/>
        <w:rPr>
          <w:color w:val="auto"/>
        </w:rPr>
      </w:pPr>
      <w:r w:rsidRPr="00EB7CA2">
        <w:rPr>
          <w:color w:val="auto"/>
        </w:rPr>
        <w:t>SYLLABUS</w:t>
      </w:r>
    </w:p>
    <w:p w14:paraId="102BB6E3" w14:textId="77777777" w:rsidR="00DA5179" w:rsidRPr="00EB7CA2" w:rsidRDefault="00DA5179" w:rsidP="00E6561E">
      <w:pPr>
        <w:pStyle w:val="Heading1"/>
        <w:rPr>
          <w:b w:val="0"/>
          <w:color w:val="auto"/>
        </w:rPr>
      </w:pPr>
      <w:r w:rsidRPr="00EB7CA2">
        <w:rPr>
          <w:color w:val="auto"/>
        </w:rPr>
        <w:t>Course Information</w:t>
      </w:r>
    </w:p>
    <w:p w14:paraId="7813D616" w14:textId="70FE9496" w:rsidR="00DA5179" w:rsidRPr="00EB7CA2" w:rsidRDefault="00DA5179" w:rsidP="007E75B2">
      <w:pPr>
        <w:tabs>
          <w:tab w:val="left" w:pos="3183"/>
        </w:tabs>
        <w:spacing w:before="0" w:after="120"/>
        <w:rPr>
          <w:rFonts w:cs="Times New Roman"/>
          <w:sz w:val="24"/>
        </w:rPr>
      </w:pPr>
      <w:r w:rsidRPr="00EB7CA2">
        <w:rPr>
          <w:rFonts w:cs="Times New Roman"/>
          <w:sz w:val="24"/>
        </w:rPr>
        <w:t>Course Title and Number</w:t>
      </w:r>
      <w:r w:rsidRPr="00EB7CA2">
        <w:rPr>
          <w:rFonts w:cs="Times New Roman"/>
          <w:sz w:val="24"/>
        </w:rPr>
        <w:tab/>
      </w:r>
      <w:r w:rsidR="001200F5" w:rsidRPr="00EB7CA2">
        <w:rPr>
          <w:rFonts w:cs="Times New Roman"/>
          <w:sz w:val="24"/>
        </w:rPr>
        <w:t>PHPM 64</w:t>
      </w:r>
      <w:r w:rsidR="00F36011" w:rsidRPr="00EB7CA2">
        <w:rPr>
          <w:rFonts w:cs="Times New Roman"/>
          <w:sz w:val="24"/>
        </w:rPr>
        <w:t>0</w:t>
      </w:r>
      <w:r w:rsidR="001200F5" w:rsidRPr="00EB7CA2">
        <w:rPr>
          <w:rFonts w:cs="Times New Roman"/>
          <w:sz w:val="24"/>
        </w:rPr>
        <w:t xml:space="preserve">: </w:t>
      </w:r>
      <w:r w:rsidR="00F36011" w:rsidRPr="00EB7CA2">
        <w:rPr>
          <w:rFonts w:cs="Times New Roman"/>
          <w:sz w:val="24"/>
        </w:rPr>
        <w:t>Health Policy and Politics</w:t>
      </w:r>
    </w:p>
    <w:p w14:paraId="2C090FF7" w14:textId="00176014" w:rsidR="00DA5179" w:rsidRPr="00EB7CA2" w:rsidRDefault="00DA5179" w:rsidP="007E75B2">
      <w:pPr>
        <w:tabs>
          <w:tab w:val="left" w:pos="3183"/>
        </w:tabs>
        <w:spacing w:before="0" w:after="120"/>
        <w:rPr>
          <w:rFonts w:cs="Times New Roman"/>
          <w:sz w:val="24"/>
        </w:rPr>
      </w:pPr>
      <w:r w:rsidRPr="00EB7CA2">
        <w:rPr>
          <w:rFonts w:cs="Times New Roman"/>
          <w:sz w:val="24"/>
        </w:rPr>
        <w:t xml:space="preserve">Academic Term                          </w:t>
      </w:r>
      <w:r w:rsidR="0000561E" w:rsidRPr="00EB7CA2">
        <w:rPr>
          <w:rFonts w:cs="Times New Roman"/>
          <w:sz w:val="24"/>
        </w:rPr>
        <w:t xml:space="preserve"> </w:t>
      </w:r>
      <w:r w:rsidR="00A44D21" w:rsidRPr="00EB7CA2">
        <w:rPr>
          <w:rFonts w:cs="Times New Roman"/>
          <w:iCs/>
          <w:sz w:val="24"/>
        </w:rPr>
        <w:t>Spring 2022</w:t>
      </w:r>
    </w:p>
    <w:p w14:paraId="72B647E0" w14:textId="483E6FF2" w:rsidR="00DA5179" w:rsidRPr="00EB7CA2" w:rsidRDefault="00DA5179" w:rsidP="007E75B2">
      <w:pPr>
        <w:tabs>
          <w:tab w:val="left" w:pos="3183"/>
        </w:tabs>
        <w:spacing w:before="0" w:after="120"/>
        <w:rPr>
          <w:rFonts w:cs="Times New Roman"/>
          <w:sz w:val="24"/>
        </w:rPr>
      </w:pPr>
      <w:r w:rsidRPr="00EB7CA2">
        <w:rPr>
          <w:rFonts w:cs="Times New Roman"/>
          <w:sz w:val="24"/>
        </w:rPr>
        <w:t xml:space="preserve">Meeting Times </w:t>
      </w:r>
      <w:r w:rsidRPr="00EB7CA2">
        <w:rPr>
          <w:rFonts w:cs="Times New Roman"/>
          <w:sz w:val="24"/>
        </w:rPr>
        <w:tab/>
      </w:r>
      <w:r w:rsidR="004F39A1" w:rsidRPr="00EB7CA2">
        <w:rPr>
          <w:rFonts w:cs="Times New Roman"/>
          <w:sz w:val="24"/>
          <w:szCs w:val="22"/>
        </w:rPr>
        <w:t>MW, 3:00pm-4:15pm</w:t>
      </w:r>
    </w:p>
    <w:p w14:paraId="55F051B6" w14:textId="6BD8409B" w:rsidR="00DA5179" w:rsidRPr="00EB7CA2" w:rsidRDefault="00DA5179" w:rsidP="007E75B2">
      <w:pPr>
        <w:tabs>
          <w:tab w:val="left" w:pos="3183"/>
        </w:tabs>
        <w:spacing w:before="0" w:after="120"/>
        <w:ind w:left="3180" w:hanging="3180"/>
        <w:rPr>
          <w:rFonts w:cs="Times New Roman"/>
          <w:sz w:val="24"/>
        </w:rPr>
      </w:pPr>
      <w:r w:rsidRPr="00EB7CA2">
        <w:rPr>
          <w:rFonts w:cs="Times New Roman"/>
          <w:sz w:val="24"/>
        </w:rPr>
        <w:t>Meeting Location</w:t>
      </w:r>
      <w:r w:rsidRPr="00EB7CA2">
        <w:rPr>
          <w:rFonts w:cs="Times New Roman"/>
          <w:sz w:val="24"/>
        </w:rPr>
        <w:tab/>
      </w:r>
      <w:r w:rsidR="00690682" w:rsidRPr="00EB7CA2">
        <w:rPr>
          <w:rFonts w:cs="Times New Roman"/>
          <w:sz w:val="24"/>
        </w:rPr>
        <w:t>REYN 141</w:t>
      </w:r>
    </w:p>
    <w:p w14:paraId="1D40707A" w14:textId="358831B5" w:rsidR="009A5706" w:rsidRPr="00EB7CA2" w:rsidRDefault="009A5706" w:rsidP="007E75B2">
      <w:pPr>
        <w:tabs>
          <w:tab w:val="left" w:pos="3183"/>
        </w:tabs>
        <w:spacing w:before="0" w:after="120"/>
        <w:ind w:left="3180" w:hanging="3180"/>
        <w:rPr>
          <w:rFonts w:cs="Times New Roman"/>
          <w:sz w:val="24"/>
        </w:rPr>
      </w:pPr>
      <w:r w:rsidRPr="00EB7CA2">
        <w:rPr>
          <w:rFonts w:cs="Times New Roman"/>
          <w:sz w:val="24"/>
        </w:rPr>
        <w:t>Credit Hours:</w:t>
      </w:r>
      <w:r w:rsidRPr="00EB7CA2">
        <w:rPr>
          <w:rFonts w:cs="Times New Roman"/>
          <w:sz w:val="24"/>
        </w:rPr>
        <w:tab/>
      </w:r>
      <w:r w:rsidR="003936E6" w:rsidRPr="00EB7CA2">
        <w:rPr>
          <w:rFonts w:cs="Times New Roman"/>
          <w:sz w:val="24"/>
        </w:rPr>
        <w:t>3</w:t>
      </w:r>
      <w:r w:rsidR="0000561E" w:rsidRPr="00EB7CA2">
        <w:rPr>
          <w:rFonts w:cs="Times New Roman"/>
          <w:sz w:val="24"/>
        </w:rPr>
        <w:t xml:space="preserve"> Credit Hour</w:t>
      </w:r>
      <w:r w:rsidR="003936E6" w:rsidRPr="00EB7CA2">
        <w:rPr>
          <w:rFonts w:cs="Times New Roman"/>
          <w:sz w:val="24"/>
        </w:rPr>
        <w:t>s</w:t>
      </w:r>
    </w:p>
    <w:p w14:paraId="7F7B9E56" w14:textId="3AAA0A92" w:rsidR="00DA5179" w:rsidRPr="00EB7CA2" w:rsidRDefault="00DA5179" w:rsidP="007E75B2">
      <w:pPr>
        <w:tabs>
          <w:tab w:val="left" w:pos="3183"/>
        </w:tabs>
        <w:spacing w:before="0" w:after="120"/>
        <w:ind w:left="3180" w:hanging="3180"/>
        <w:rPr>
          <w:rFonts w:cs="Times New Roman"/>
          <w:sz w:val="24"/>
        </w:rPr>
      </w:pPr>
      <w:r w:rsidRPr="00EB7CA2">
        <w:rPr>
          <w:rFonts w:cs="Times New Roman"/>
          <w:sz w:val="24"/>
        </w:rPr>
        <w:t>Instructor Name</w:t>
      </w:r>
      <w:r w:rsidRPr="00EB7CA2">
        <w:rPr>
          <w:rFonts w:cs="Times New Roman"/>
          <w:sz w:val="24"/>
        </w:rPr>
        <w:tab/>
      </w:r>
      <w:r w:rsidR="001E113F" w:rsidRPr="00EB7CA2">
        <w:rPr>
          <w:rFonts w:cs="Times New Roman"/>
          <w:sz w:val="24"/>
        </w:rPr>
        <w:t>Timothy Callaghan, PhD</w:t>
      </w:r>
    </w:p>
    <w:p w14:paraId="447646AC" w14:textId="5D02F203" w:rsidR="00DA5179" w:rsidRPr="00EB7CA2" w:rsidRDefault="00DA5179" w:rsidP="007E75B2">
      <w:pPr>
        <w:tabs>
          <w:tab w:val="left" w:pos="3183"/>
        </w:tabs>
        <w:spacing w:before="0" w:after="120"/>
        <w:rPr>
          <w:rFonts w:cs="Times New Roman"/>
          <w:sz w:val="24"/>
        </w:rPr>
      </w:pPr>
      <w:r w:rsidRPr="00EB7CA2">
        <w:rPr>
          <w:rFonts w:cs="Times New Roman"/>
          <w:sz w:val="24"/>
        </w:rPr>
        <w:t xml:space="preserve">Instructor Telephone Number </w:t>
      </w:r>
      <w:r w:rsidRPr="00EB7CA2">
        <w:rPr>
          <w:rFonts w:cs="Times New Roman"/>
          <w:sz w:val="24"/>
        </w:rPr>
        <w:tab/>
      </w:r>
      <w:r w:rsidR="001E113F" w:rsidRPr="00EB7CA2">
        <w:rPr>
          <w:rFonts w:cs="Times New Roman"/>
          <w:sz w:val="24"/>
        </w:rPr>
        <w:t>979-436-0960</w:t>
      </w:r>
    </w:p>
    <w:p w14:paraId="08821106" w14:textId="45CA4412" w:rsidR="00DA5179" w:rsidRPr="00EB7CA2" w:rsidRDefault="00DA5179" w:rsidP="007E75B2">
      <w:pPr>
        <w:tabs>
          <w:tab w:val="left" w:pos="3183"/>
        </w:tabs>
        <w:spacing w:before="0" w:after="120"/>
        <w:rPr>
          <w:rFonts w:cs="Times New Roman"/>
          <w:sz w:val="24"/>
        </w:rPr>
      </w:pPr>
      <w:r w:rsidRPr="00EB7CA2">
        <w:rPr>
          <w:rFonts w:cs="Times New Roman"/>
          <w:sz w:val="24"/>
        </w:rPr>
        <w:t>Instructor Email Address</w:t>
      </w:r>
      <w:r w:rsidRPr="00EB7CA2">
        <w:rPr>
          <w:rFonts w:cs="Times New Roman"/>
          <w:sz w:val="24"/>
        </w:rPr>
        <w:tab/>
      </w:r>
      <w:hyperlink r:id="rId13" w:history="1">
        <w:r w:rsidR="001E113F" w:rsidRPr="00EB7CA2">
          <w:rPr>
            <w:rStyle w:val="Hyperlink"/>
            <w:rFonts w:cs="Times New Roman"/>
            <w:color w:val="auto"/>
            <w:sz w:val="24"/>
          </w:rPr>
          <w:t>callaghan@tamu.edu</w:t>
        </w:r>
      </w:hyperlink>
      <w:r w:rsidR="001E113F" w:rsidRPr="00EB7CA2">
        <w:rPr>
          <w:rFonts w:cs="Times New Roman"/>
          <w:sz w:val="24"/>
        </w:rPr>
        <w:t xml:space="preserve"> </w:t>
      </w:r>
    </w:p>
    <w:p w14:paraId="00D3D32C" w14:textId="7C8CFBA9" w:rsidR="00DA5179" w:rsidRPr="00EB7CA2" w:rsidRDefault="00DA5179" w:rsidP="007E75B2">
      <w:pPr>
        <w:tabs>
          <w:tab w:val="left" w:pos="3183"/>
        </w:tabs>
        <w:spacing w:before="0" w:after="120"/>
        <w:rPr>
          <w:rFonts w:cs="Times New Roman"/>
          <w:sz w:val="24"/>
        </w:rPr>
      </w:pPr>
      <w:r w:rsidRPr="00EB7CA2">
        <w:rPr>
          <w:rFonts w:cs="Times New Roman"/>
          <w:sz w:val="24"/>
        </w:rPr>
        <w:t>Instructor Office Hours</w:t>
      </w:r>
      <w:r w:rsidRPr="00EB7CA2">
        <w:rPr>
          <w:rFonts w:cs="Times New Roman"/>
          <w:sz w:val="24"/>
        </w:rPr>
        <w:tab/>
      </w:r>
      <w:r w:rsidR="001249B0" w:rsidRPr="00EB7CA2">
        <w:rPr>
          <w:rFonts w:cs="Times New Roman"/>
          <w:sz w:val="24"/>
        </w:rPr>
        <w:t>Wednesday</w:t>
      </w:r>
      <w:r w:rsidR="001E113F" w:rsidRPr="00EB7CA2">
        <w:rPr>
          <w:rFonts w:cs="Times New Roman"/>
          <w:sz w:val="24"/>
        </w:rPr>
        <w:t>, 9-11am</w:t>
      </w:r>
    </w:p>
    <w:p w14:paraId="5958F71B" w14:textId="4E2BEAFD" w:rsidR="00DA5179" w:rsidRPr="00EB7CA2" w:rsidRDefault="00DA5179" w:rsidP="007E75B2">
      <w:pPr>
        <w:tabs>
          <w:tab w:val="left" w:pos="3183"/>
        </w:tabs>
        <w:spacing w:before="0" w:after="120"/>
        <w:ind w:left="3180" w:hanging="3180"/>
        <w:rPr>
          <w:rFonts w:cs="Times New Roman"/>
          <w:sz w:val="24"/>
        </w:rPr>
      </w:pPr>
      <w:r w:rsidRPr="00EB7CA2">
        <w:rPr>
          <w:rFonts w:cs="Times New Roman"/>
          <w:sz w:val="24"/>
        </w:rPr>
        <w:t>Instructor Office Location</w:t>
      </w:r>
      <w:r w:rsidRPr="00EB7CA2">
        <w:rPr>
          <w:rFonts w:cs="Times New Roman"/>
          <w:sz w:val="24"/>
        </w:rPr>
        <w:tab/>
      </w:r>
      <w:r w:rsidR="001E113F" w:rsidRPr="00EB7CA2">
        <w:rPr>
          <w:rFonts w:cs="Times New Roman"/>
          <w:sz w:val="24"/>
        </w:rPr>
        <w:t>SPH</w:t>
      </w:r>
      <w:r w:rsidR="00AF7CF1" w:rsidRPr="00EB7CA2">
        <w:rPr>
          <w:rFonts w:cs="Times New Roman"/>
          <w:sz w:val="24"/>
        </w:rPr>
        <w:t>A</w:t>
      </w:r>
      <w:r w:rsidR="001E113F" w:rsidRPr="00EB7CA2">
        <w:rPr>
          <w:rFonts w:cs="Times New Roman"/>
          <w:sz w:val="24"/>
        </w:rPr>
        <w:t xml:space="preserve"> 132</w:t>
      </w:r>
    </w:p>
    <w:p w14:paraId="05E2CE38" w14:textId="3436A61C" w:rsidR="00D455FF" w:rsidRPr="00EB7CA2" w:rsidRDefault="00682905" w:rsidP="007E75B2">
      <w:pPr>
        <w:tabs>
          <w:tab w:val="left" w:pos="3183"/>
        </w:tabs>
        <w:spacing w:before="0" w:after="120"/>
        <w:ind w:left="3180" w:hanging="3180"/>
        <w:rPr>
          <w:rFonts w:cs="Times New Roman"/>
          <w:sz w:val="24"/>
        </w:rPr>
      </w:pPr>
      <w:r w:rsidRPr="00EB7CA2">
        <w:rPr>
          <w:rFonts w:cs="Times New Roman"/>
          <w:sz w:val="24"/>
        </w:rPr>
        <w:t>Teaching Assistant</w:t>
      </w:r>
      <w:r w:rsidRPr="00EB7CA2">
        <w:rPr>
          <w:rFonts w:cs="Times New Roman"/>
          <w:sz w:val="24"/>
        </w:rPr>
        <w:tab/>
        <w:t>Ashley Potter</w:t>
      </w:r>
    </w:p>
    <w:p w14:paraId="2F8F4ABA" w14:textId="08FBFDB2" w:rsidR="00682905" w:rsidRPr="00EB7CA2" w:rsidRDefault="00682905" w:rsidP="007E75B2">
      <w:pPr>
        <w:tabs>
          <w:tab w:val="left" w:pos="3183"/>
        </w:tabs>
        <w:spacing w:before="0" w:after="120"/>
        <w:ind w:left="3180" w:hanging="3180"/>
        <w:rPr>
          <w:rFonts w:cs="Times New Roman"/>
          <w:sz w:val="24"/>
        </w:rPr>
      </w:pPr>
      <w:r w:rsidRPr="00EB7CA2">
        <w:rPr>
          <w:rFonts w:cs="Times New Roman"/>
          <w:sz w:val="24"/>
        </w:rPr>
        <w:t>Teaching Assistant Email</w:t>
      </w:r>
      <w:r w:rsidRPr="00EB7CA2">
        <w:rPr>
          <w:rFonts w:cs="Times New Roman"/>
          <w:sz w:val="24"/>
        </w:rPr>
        <w:tab/>
      </w:r>
      <w:hyperlink r:id="rId14" w:history="1">
        <w:r w:rsidR="00EB7CA2" w:rsidRPr="00EB7CA2">
          <w:rPr>
            <w:rStyle w:val="Hyperlink"/>
            <w:rFonts w:cs="Times New Roman"/>
            <w:color w:val="auto"/>
            <w:sz w:val="24"/>
          </w:rPr>
          <w:t>potter.soccer2@tamu.edu</w:t>
        </w:r>
      </w:hyperlink>
    </w:p>
    <w:p w14:paraId="78492D2E" w14:textId="77777777" w:rsidR="00DA5179" w:rsidRPr="00D45ECC" w:rsidRDefault="00DA5179" w:rsidP="00E6561E">
      <w:pPr>
        <w:pStyle w:val="Heading1"/>
      </w:pPr>
      <w:r w:rsidRPr="00E6561E">
        <w:t>Course Description</w:t>
      </w:r>
    </w:p>
    <w:p w14:paraId="0313D0DC" w14:textId="77777777" w:rsidR="003536E9" w:rsidRPr="003536E9" w:rsidRDefault="003536E9" w:rsidP="003536E9">
      <w:pPr>
        <w:pStyle w:val="Normal1"/>
        <w:rPr>
          <w:szCs w:val="28"/>
        </w:rPr>
      </w:pPr>
      <w:r w:rsidRPr="003536E9">
        <w:rPr>
          <w:szCs w:val="28"/>
        </w:rPr>
        <w:t xml:space="preserve">The purpose of this course is to introduce attendees to the concepts and tools for understanding the complexities and dynamics around health care policy in the United States. We will focus on key features of the current U.S. health care and political system. This course will: (1) cover political and socio-economic concepts central to health policy debates; and (2) provide students with practice in critically evaluating pressing health policy problems. </w:t>
      </w:r>
    </w:p>
    <w:p w14:paraId="34FB38E0" w14:textId="77777777" w:rsidR="00DA5179" w:rsidRPr="00D45ECC" w:rsidRDefault="00DA5179" w:rsidP="00E6561E">
      <w:pPr>
        <w:pStyle w:val="Heading1"/>
      </w:pPr>
      <w:r w:rsidRPr="00E6561E">
        <w:t>Prerequisites</w:t>
      </w:r>
    </w:p>
    <w:p w14:paraId="796AD3C0" w14:textId="182CE768" w:rsidR="00295606" w:rsidRPr="00295606" w:rsidRDefault="003536E9" w:rsidP="00295606">
      <w:pPr>
        <w:rPr>
          <w:rFonts w:cs="Times New Roman"/>
          <w:sz w:val="24"/>
          <w:szCs w:val="22"/>
        </w:rPr>
      </w:pPr>
      <w:r>
        <w:rPr>
          <w:rFonts w:cs="Times New Roman"/>
          <w:sz w:val="24"/>
          <w:szCs w:val="22"/>
        </w:rPr>
        <w:t>None</w:t>
      </w:r>
    </w:p>
    <w:p w14:paraId="54EA7C0D" w14:textId="77777777" w:rsidR="00DA5179" w:rsidRPr="00D45ECC" w:rsidRDefault="00DA5179" w:rsidP="00E6561E">
      <w:pPr>
        <w:pStyle w:val="Heading1"/>
      </w:pPr>
      <w:r w:rsidRPr="00E6561E">
        <w:t>Learning Outcomes and Course Objectives</w:t>
      </w:r>
    </w:p>
    <w:p w14:paraId="42A5E9B8" w14:textId="77777777" w:rsidR="00DA5179" w:rsidRPr="0000561E" w:rsidRDefault="00DA5179" w:rsidP="00791B4E">
      <w:pPr>
        <w:autoSpaceDE w:val="0"/>
        <w:autoSpaceDN w:val="0"/>
        <w:adjustRightInd w:val="0"/>
        <w:rPr>
          <w:rFonts w:cs="Times New Roman"/>
          <w:sz w:val="24"/>
        </w:rPr>
      </w:pPr>
      <w:r w:rsidRPr="0000561E">
        <w:rPr>
          <w:rFonts w:cs="Times New Roman"/>
          <w:sz w:val="24"/>
        </w:rPr>
        <w:t>By completing the class assignments, through participation and by completing the readings, the student will be able to:</w:t>
      </w:r>
    </w:p>
    <w:tbl>
      <w:tblPr>
        <w:tblStyle w:val="TableGrid"/>
        <w:tblW w:w="10885" w:type="dxa"/>
        <w:tblLook w:val="04A0" w:firstRow="1" w:lastRow="0" w:firstColumn="1" w:lastColumn="0" w:noHBand="0" w:noVBand="1"/>
      </w:tblPr>
      <w:tblGrid>
        <w:gridCol w:w="5485"/>
        <w:gridCol w:w="5400"/>
      </w:tblGrid>
      <w:tr w:rsidR="00EE12E4" w:rsidRPr="000A032E" w14:paraId="1D19750A" w14:textId="77777777" w:rsidTr="000E7580">
        <w:trPr>
          <w:trHeight w:val="243"/>
        </w:trPr>
        <w:tc>
          <w:tcPr>
            <w:tcW w:w="5485" w:type="dxa"/>
            <w:tcBorders>
              <w:top w:val="nil"/>
            </w:tcBorders>
            <w:shd w:val="clear" w:color="auto" w:fill="808080" w:themeFill="background1" w:themeFillShade="80"/>
          </w:tcPr>
          <w:p w14:paraId="66A4BBE0" w14:textId="77777777" w:rsidR="00EE12E4" w:rsidRPr="000A032E" w:rsidRDefault="00EE12E4" w:rsidP="000C7FB0">
            <w:pPr>
              <w:pStyle w:val="ListParagraph"/>
              <w:spacing w:after="160" w:line="259" w:lineRule="auto"/>
              <w:ind w:left="0"/>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Competencies</w:t>
            </w:r>
          </w:p>
        </w:tc>
        <w:tc>
          <w:tcPr>
            <w:tcW w:w="5400" w:type="dxa"/>
            <w:tcBorders>
              <w:top w:val="nil"/>
            </w:tcBorders>
            <w:shd w:val="clear" w:color="auto" w:fill="808080" w:themeFill="background1" w:themeFillShade="80"/>
            <w:vAlign w:val="bottom"/>
          </w:tcPr>
          <w:p w14:paraId="58C87410" w14:textId="77777777" w:rsidR="00EE12E4" w:rsidRPr="000A032E" w:rsidRDefault="00EE12E4" w:rsidP="00EE12E4">
            <w:pPr>
              <w:pStyle w:val="ListParagraph"/>
              <w:spacing w:before="0"/>
              <w:ind w:left="0"/>
              <w:rPr>
                <w:rFonts w:asciiTheme="minorHAnsi" w:hAnsiTheme="minorHAnsi" w:cstheme="minorHAnsi"/>
                <w:i/>
                <w:color w:val="FFFFFF" w:themeColor="background1"/>
                <w:szCs w:val="22"/>
              </w:rPr>
            </w:pPr>
            <w:r>
              <w:rPr>
                <w:rFonts w:asciiTheme="minorHAnsi" w:hAnsiTheme="minorHAnsi" w:cstheme="minorHAnsi"/>
                <w:color w:val="FFFFFF" w:themeColor="background1"/>
                <w:szCs w:val="22"/>
              </w:rPr>
              <w:t>Learning Objectives</w:t>
            </w:r>
          </w:p>
        </w:tc>
      </w:tr>
      <w:tr w:rsidR="000975BD" w:rsidRPr="000A032E" w14:paraId="3567C0D6" w14:textId="77777777" w:rsidTr="000E7580">
        <w:tc>
          <w:tcPr>
            <w:tcW w:w="5485" w:type="dxa"/>
          </w:tcPr>
          <w:p w14:paraId="5919535C" w14:textId="77777777" w:rsidR="000975BD" w:rsidRPr="000975BD" w:rsidRDefault="000975BD" w:rsidP="000975BD">
            <w:pPr>
              <w:pStyle w:val="Normal1"/>
              <w:ind w:right="-198"/>
              <w:rPr>
                <w:b/>
              </w:rPr>
            </w:pPr>
            <w:r w:rsidRPr="000975BD">
              <w:rPr>
                <w:b/>
              </w:rPr>
              <w:t>CEPH Competency:</w:t>
            </w:r>
          </w:p>
          <w:p w14:paraId="3B9FD786" w14:textId="77777777" w:rsidR="000975BD" w:rsidRPr="000975BD" w:rsidRDefault="000975BD" w:rsidP="000975BD">
            <w:pPr>
              <w:pStyle w:val="Normal1"/>
            </w:pPr>
            <w:r w:rsidRPr="000975BD">
              <w:t xml:space="preserve">D1.10. Explain the social, </w:t>
            </w:r>
            <w:proofErr w:type="gramStart"/>
            <w:r w:rsidRPr="000975BD">
              <w:t>political</w:t>
            </w:r>
            <w:proofErr w:type="gramEnd"/>
            <w:r w:rsidRPr="000975BD">
              <w:t xml:space="preserve"> and economic determinants of health and how they contribute to population health and health inequities</w:t>
            </w:r>
          </w:p>
          <w:p w14:paraId="7E1C071E" w14:textId="77777777" w:rsidR="000975BD" w:rsidRPr="000975BD" w:rsidRDefault="000975BD" w:rsidP="000975BD">
            <w:pPr>
              <w:pStyle w:val="Normal1"/>
            </w:pPr>
            <w:r w:rsidRPr="000975BD">
              <w:lastRenderedPageBreak/>
              <w:t xml:space="preserve">D2.5. Compare the organization, structure and function of health care, public </w:t>
            </w:r>
            <w:proofErr w:type="gramStart"/>
            <w:r w:rsidRPr="000975BD">
              <w:t>health</w:t>
            </w:r>
            <w:proofErr w:type="gramEnd"/>
            <w:r w:rsidRPr="000975BD">
              <w:t xml:space="preserve"> and regulatory systems across national and international settings </w:t>
            </w:r>
          </w:p>
          <w:p w14:paraId="144A0921" w14:textId="77777777" w:rsidR="000975BD" w:rsidRPr="000975BD" w:rsidRDefault="000975BD" w:rsidP="000975BD">
            <w:pPr>
              <w:pStyle w:val="Normal1"/>
            </w:pPr>
            <w:r w:rsidRPr="000975BD">
              <w:t xml:space="preserve">D2.6. Discuss </w:t>
            </w:r>
            <w:proofErr w:type="gramStart"/>
            <w:r w:rsidRPr="000975BD">
              <w:t>the means by which</w:t>
            </w:r>
            <w:proofErr w:type="gramEnd"/>
            <w:r w:rsidRPr="000975BD">
              <w:t xml:space="preserve"> structural bias, social inequities and racism undermine health and create challenges to achieving health equity at organizational, community and societal levels</w:t>
            </w:r>
          </w:p>
          <w:p w14:paraId="774CFAF2" w14:textId="77777777" w:rsidR="000975BD" w:rsidRPr="000975BD" w:rsidRDefault="000975BD" w:rsidP="000975BD">
            <w:pPr>
              <w:pStyle w:val="Normal1"/>
            </w:pPr>
            <w:r w:rsidRPr="000975BD">
              <w:t xml:space="preserve">D2.12. Discuss multiple dimensions of the policy-making process, including the roles of ethics and evidence </w:t>
            </w:r>
          </w:p>
          <w:p w14:paraId="5F440C73" w14:textId="77777777" w:rsidR="000975BD" w:rsidRPr="000975BD" w:rsidRDefault="000975BD" w:rsidP="000975BD">
            <w:pPr>
              <w:pStyle w:val="Normal1"/>
            </w:pPr>
            <w:r w:rsidRPr="000975BD">
              <w:t xml:space="preserve">D2.13. Propose strategies to identify stakeholders and build coalitions and partnerships for influencing public health outcomes </w:t>
            </w:r>
          </w:p>
          <w:p w14:paraId="509E7F67" w14:textId="77777777" w:rsidR="000975BD" w:rsidRPr="000975BD" w:rsidRDefault="000975BD" w:rsidP="000975BD">
            <w:pPr>
              <w:pStyle w:val="Normal1"/>
            </w:pPr>
            <w:r w:rsidRPr="000975BD">
              <w:t xml:space="preserve">D2.14. Advocate for political, </w:t>
            </w:r>
            <w:proofErr w:type="gramStart"/>
            <w:r w:rsidRPr="000975BD">
              <w:t>social</w:t>
            </w:r>
            <w:proofErr w:type="gramEnd"/>
            <w:r w:rsidRPr="000975BD">
              <w:t xml:space="preserve"> or economic policies and programs that will improve health in diverse populations </w:t>
            </w:r>
          </w:p>
          <w:p w14:paraId="6B8A7446" w14:textId="77777777" w:rsidR="000975BD" w:rsidRPr="000975BD" w:rsidRDefault="000975BD" w:rsidP="000975BD">
            <w:pPr>
              <w:pStyle w:val="Normal1"/>
            </w:pPr>
            <w:r w:rsidRPr="000975BD">
              <w:t xml:space="preserve">D2.18. Select communication strategies for different audiences and sectors </w:t>
            </w:r>
          </w:p>
          <w:p w14:paraId="399B83D0" w14:textId="77777777" w:rsidR="000975BD" w:rsidRPr="000975BD" w:rsidRDefault="000975BD" w:rsidP="000975BD">
            <w:pPr>
              <w:pStyle w:val="Normal1"/>
            </w:pPr>
            <w:r w:rsidRPr="000975BD">
              <w:t>D2.19. Communicate audience-appropriate public health content, both in writing and through oral presentation</w:t>
            </w:r>
          </w:p>
          <w:p w14:paraId="1E1C8913" w14:textId="77777777" w:rsidR="000975BD" w:rsidRPr="000975BD" w:rsidRDefault="000975BD" w:rsidP="000975BD">
            <w:pPr>
              <w:pStyle w:val="Normal1"/>
            </w:pPr>
          </w:p>
          <w:p w14:paraId="47C34E75" w14:textId="77777777" w:rsidR="000975BD" w:rsidRPr="000975BD" w:rsidRDefault="000975BD" w:rsidP="000975BD">
            <w:pPr>
              <w:pStyle w:val="Normal1"/>
              <w:ind w:right="-198"/>
              <w:rPr>
                <w:b/>
              </w:rPr>
            </w:pPr>
            <w:r w:rsidRPr="000975BD">
              <w:rPr>
                <w:b/>
              </w:rPr>
              <w:t>CEPH HPM-MPH Concentration Competency</w:t>
            </w:r>
          </w:p>
          <w:p w14:paraId="2AA5ACF5" w14:textId="77777777" w:rsidR="000975BD" w:rsidRPr="000975BD" w:rsidRDefault="000975BD" w:rsidP="000975BD">
            <w:pPr>
              <w:pStyle w:val="Normal1"/>
              <w:pBdr>
                <w:top w:val="nil"/>
                <w:left w:val="nil"/>
                <w:bottom w:val="nil"/>
                <w:right w:val="nil"/>
                <w:between w:val="nil"/>
              </w:pBdr>
              <w:rPr>
                <w:color w:val="000000"/>
              </w:rPr>
            </w:pPr>
            <w:r w:rsidRPr="000975BD">
              <w:rPr>
                <w:color w:val="000000"/>
              </w:rPr>
              <w:t>1. Analyze trends affecting the health of communities</w:t>
            </w:r>
          </w:p>
          <w:p w14:paraId="30E8ED4D" w14:textId="77777777" w:rsidR="000975BD" w:rsidRPr="000975BD" w:rsidRDefault="000975BD" w:rsidP="000975BD">
            <w:pPr>
              <w:pStyle w:val="Normal1"/>
              <w:pBdr>
                <w:top w:val="nil"/>
                <w:left w:val="nil"/>
                <w:bottom w:val="nil"/>
                <w:right w:val="nil"/>
                <w:between w:val="nil"/>
              </w:pBdr>
              <w:rPr>
                <w:color w:val="000000"/>
              </w:rPr>
            </w:pPr>
            <w:r w:rsidRPr="000975BD">
              <w:rPr>
                <w:color w:val="000000"/>
              </w:rPr>
              <w:t xml:space="preserve">3. Evaluate the structures, functions and authorizations of public health programs and organizations that can address specific community health needs </w:t>
            </w:r>
          </w:p>
          <w:p w14:paraId="72E46296" w14:textId="77777777" w:rsidR="000975BD" w:rsidRPr="000975BD" w:rsidRDefault="000975BD" w:rsidP="000975BD">
            <w:pPr>
              <w:pStyle w:val="Normal1"/>
              <w:pBdr>
                <w:top w:val="nil"/>
                <w:left w:val="nil"/>
                <w:bottom w:val="nil"/>
                <w:right w:val="nil"/>
                <w:between w:val="nil"/>
              </w:pBdr>
              <w:rPr>
                <w:color w:val="000000"/>
              </w:rPr>
            </w:pPr>
            <w:r w:rsidRPr="000975BD">
              <w:rPr>
                <w:color w:val="000000"/>
              </w:rPr>
              <w:t>4. Create and explain project or program goals, strategies, and objectives</w:t>
            </w:r>
          </w:p>
          <w:p w14:paraId="3EA6F680" w14:textId="77777777" w:rsidR="000975BD" w:rsidRPr="000975BD" w:rsidRDefault="000975BD" w:rsidP="000975BD">
            <w:pPr>
              <w:pStyle w:val="Normal1"/>
              <w:pBdr>
                <w:top w:val="nil"/>
                <w:left w:val="nil"/>
                <w:bottom w:val="nil"/>
                <w:right w:val="nil"/>
                <w:between w:val="nil"/>
              </w:pBdr>
              <w:rPr>
                <w:color w:val="000000"/>
              </w:rPr>
            </w:pPr>
            <w:r w:rsidRPr="000975BD">
              <w:rPr>
                <w:color w:val="000000"/>
              </w:rPr>
              <w:t xml:space="preserve">5. Recommend and justify policies, programs, and services for implementation after examining their feasibility and implications </w:t>
            </w:r>
          </w:p>
          <w:p w14:paraId="264B5675" w14:textId="77777777" w:rsidR="000975BD" w:rsidRPr="000975BD" w:rsidRDefault="000975BD" w:rsidP="000975BD">
            <w:pPr>
              <w:pStyle w:val="Normal1"/>
              <w:pBdr>
                <w:top w:val="nil"/>
                <w:left w:val="nil"/>
                <w:bottom w:val="nil"/>
                <w:right w:val="nil"/>
                <w:between w:val="nil"/>
              </w:pBdr>
              <w:rPr>
                <w:color w:val="000000"/>
              </w:rPr>
            </w:pPr>
          </w:p>
          <w:p w14:paraId="334084B2" w14:textId="77777777" w:rsidR="000975BD" w:rsidRPr="000975BD" w:rsidRDefault="000975BD" w:rsidP="000975BD">
            <w:pPr>
              <w:pStyle w:val="Normal1"/>
              <w:ind w:right="-198"/>
              <w:rPr>
                <w:b/>
              </w:rPr>
            </w:pPr>
            <w:r w:rsidRPr="000975BD">
              <w:rPr>
                <w:b/>
              </w:rPr>
              <w:t>MHA Core Competency:</w:t>
            </w:r>
          </w:p>
          <w:p w14:paraId="4D2F715D" w14:textId="77777777" w:rsidR="000975BD" w:rsidRPr="000975BD" w:rsidRDefault="000975BD" w:rsidP="000975BD">
            <w:pPr>
              <w:pStyle w:val="Normal1"/>
              <w:rPr>
                <w:color w:val="000000"/>
              </w:rPr>
            </w:pPr>
            <w:r w:rsidRPr="000975BD">
              <w:rPr>
                <w:color w:val="000000"/>
              </w:rPr>
              <w:t xml:space="preserve">4. Discuss the policy process for improving the health status of populations. </w:t>
            </w:r>
          </w:p>
          <w:p w14:paraId="301CC850" w14:textId="77777777" w:rsidR="000975BD" w:rsidRPr="000975BD" w:rsidRDefault="000975BD" w:rsidP="000975BD">
            <w:pPr>
              <w:pStyle w:val="Normal1"/>
              <w:ind w:right="-198"/>
            </w:pPr>
            <w:r w:rsidRPr="000975BD">
              <w:t>9. Communicate health policy and management issues using appropriate channels and technologies.</w:t>
            </w:r>
          </w:p>
          <w:p w14:paraId="61C42F61" w14:textId="77777777" w:rsidR="000975BD" w:rsidRPr="000975BD" w:rsidRDefault="000975BD" w:rsidP="000975BD">
            <w:pPr>
              <w:pStyle w:val="Normal1"/>
              <w:ind w:right="-198"/>
            </w:pPr>
            <w:r w:rsidRPr="000975BD">
              <w:rPr>
                <w:b/>
              </w:rPr>
              <w:t>MHA Skill Sets</w:t>
            </w:r>
            <w:r w:rsidRPr="000975BD">
              <w:t xml:space="preserve">: </w:t>
            </w:r>
          </w:p>
          <w:p w14:paraId="3E5A95FF" w14:textId="77777777" w:rsidR="000975BD" w:rsidRPr="000975BD" w:rsidRDefault="000975BD" w:rsidP="000975BD">
            <w:pPr>
              <w:pStyle w:val="Normal1"/>
              <w:ind w:right="-198"/>
              <w:rPr>
                <w:b/>
              </w:rPr>
            </w:pPr>
            <w:r w:rsidRPr="000975BD">
              <w:rPr>
                <w:b/>
              </w:rPr>
              <w:t xml:space="preserve">MANAGEMENT SKILLS </w:t>
            </w:r>
          </w:p>
          <w:p w14:paraId="21D72438" w14:textId="77777777" w:rsidR="000975BD" w:rsidRPr="000975BD" w:rsidRDefault="000975BD" w:rsidP="000975BD">
            <w:pPr>
              <w:pStyle w:val="Normal1"/>
              <w:jc w:val="both"/>
              <w:rPr>
                <w:b/>
                <w:color w:val="000000"/>
              </w:rPr>
            </w:pPr>
            <w:r w:rsidRPr="000975BD">
              <w:rPr>
                <w:b/>
                <w:color w:val="000000"/>
              </w:rPr>
              <w:t xml:space="preserve">Written Communication Skills </w:t>
            </w:r>
          </w:p>
          <w:p w14:paraId="55954BBD" w14:textId="77777777" w:rsidR="000975BD" w:rsidRPr="000975BD" w:rsidRDefault="000975BD" w:rsidP="000975BD">
            <w:pPr>
              <w:pStyle w:val="Normal1"/>
              <w:jc w:val="both"/>
              <w:rPr>
                <w:color w:val="000000"/>
              </w:rPr>
            </w:pPr>
            <w:r w:rsidRPr="000975BD">
              <w:rPr>
                <w:color w:val="000000"/>
              </w:rPr>
              <w:t xml:space="preserve">20. Healthcare terminology and acronyms </w:t>
            </w:r>
          </w:p>
          <w:p w14:paraId="5B8771DE" w14:textId="77777777" w:rsidR="000975BD" w:rsidRPr="000975BD" w:rsidRDefault="000975BD" w:rsidP="000975BD">
            <w:pPr>
              <w:pStyle w:val="Normal1"/>
              <w:jc w:val="both"/>
              <w:rPr>
                <w:color w:val="000000"/>
              </w:rPr>
            </w:pPr>
            <w:r w:rsidRPr="000975BD">
              <w:rPr>
                <w:color w:val="000000"/>
              </w:rPr>
              <w:t xml:space="preserve">21. Memos </w:t>
            </w:r>
          </w:p>
          <w:p w14:paraId="7628342D" w14:textId="77777777" w:rsidR="000975BD" w:rsidRPr="000975BD" w:rsidRDefault="000975BD" w:rsidP="000975BD">
            <w:pPr>
              <w:pStyle w:val="Normal1"/>
              <w:jc w:val="both"/>
              <w:rPr>
                <w:b/>
                <w:color w:val="000000"/>
              </w:rPr>
            </w:pPr>
            <w:r w:rsidRPr="000975BD">
              <w:rPr>
                <w:b/>
                <w:color w:val="000000"/>
              </w:rPr>
              <w:t xml:space="preserve">Planning and Implementation Skills </w:t>
            </w:r>
          </w:p>
          <w:p w14:paraId="7F669D14" w14:textId="77777777" w:rsidR="000975BD" w:rsidRPr="000975BD" w:rsidRDefault="000975BD" w:rsidP="000975BD">
            <w:pPr>
              <w:pStyle w:val="Normal1"/>
              <w:jc w:val="both"/>
              <w:rPr>
                <w:color w:val="000000"/>
              </w:rPr>
            </w:pPr>
            <w:r w:rsidRPr="000975BD">
              <w:rPr>
                <w:color w:val="000000"/>
              </w:rPr>
              <w:t xml:space="preserve">29. Problem solving </w:t>
            </w:r>
          </w:p>
          <w:p w14:paraId="1EA4F67D" w14:textId="77777777" w:rsidR="000975BD" w:rsidRPr="000975BD" w:rsidRDefault="000975BD" w:rsidP="000975BD">
            <w:pPr>
              <w:pStyle w:val="Normal1"/>
              <w:jc w:val="both"/>
              <w:rPr>
                <w:b/>
                <w:color w:val="000000"/>
              </w:rPr>
            </w:pPr>
            <w:r w:rsidRPr="000975BD">
              <w:rPr>
                <w:b/>
                <w:color w:val="000000"/>
              </w:rPr>
              <w:t xml:space="preserve">Understanding and Practice of Leadership </w:t>
            </w:r>
          </w:p>
          <w:p w14:paraId="3990D461" w14:textId="77777777" w:rsidR="000975BD" w:rsidRPr="000975BD" w:rsidRDefault="000975BD" w:rsidP="000975BD">
            <w:pPr>
              <w:pStyle w:val="Normal1"/>
              <w:jc w:val="both"/>
              <w:rPr>
                <w:color w:val="000000"/>
              </w:rPr>
            </w:pPr>
            <w:r w:rsidRPr="000975BD">
              <w:rPr>
                <w:color w:val="000000"/>
              </w:rPr>
              <w:t xml:space="preserve">32. Professionalism </w:t>
            </w:r>
          </w:p>
          <w:p w14:paraId="2083C6AB" w14:textId="36641C31" w:rsidR="000975BD" w:rsidRPr="0013656C" w:rsidRDefault="000975BD" w:rsidP="0013656C">
            <w:pPr>
              <w:pStyle w:val="Normal1"/>
              <w:jc w:val="both"/>
              <w:rPr>
                <w:color w:val="000000"/>
              </w:rPr>
            </w:pPr>
            <w:r w:rsidRPr="000975BD">
              <w:rPr>
                <w:color w:val="000000"/>
              </w:rPr>
              <w:t xml:space="preserve">33. Critical thinking </w:t>
            </w:r>
          </w:p>
        </w:tc>
        <w:tc>
          <w:tcPr>
            <w:tcW w:w="5400" w:type="dxa"/>
          </w:tcPr>
          <w:p w14:paraId="2C1C79CD" w14:textId="77777777" w:rsidR="000975BD" w:rsidRPr="000975BD" w:rsidRDefault="000975BD" w:rsidP="000975BD">
            <w:pPr>
              <w:pStyle w:val="Normal1"/>
              <w:numPr>
                <w:ilvl w:val="0"/>
                <w:numId w:val="16"/>
              </w:numPr>
              <w:pBdr>
                <w:top w:val="nil"/>
                <w:left w:val="nil"/>
                <w:bottom w:val="nil"/>
                <w:right w:val="nil"/>
                <w:between w:val="nil"/>
              </w:pBdr>
              <w:ind w:right="-198"/>
            </w:pPr>
            <w:r w:rsidRPr="000975BD">
              <w:rPr>
                <w:color w:val="000000"/>
              </w:rPr>
              <w:lastRenderedPageBreak/>
              <w:t>Cover political and socio-economic concepts central to health policy debates.</w:t>
            </w:r>
          </w:p>
          <w:p w14:paraId="5B7989DC" w14:textId="77777777" w:rsidR="000975BD" w:rsidRPr="000975BD" w:rsidRDefault="000975BD" w:rsidP="000975BD">
            <w:pPr>
              <w:pStyle w:val="Normal1"/>
              <w:numPr>
                <w:ilvl w:val="0"/>
                <w:numId w:val="16"/>
              </w:numPr>
              <w:pBdr>
                <w:top w:val="nil"/>
                <w:left w:val="nil"/>
                <w:bottom w:val="nil"/>
                <w:right w:val="nil"/>
                <w:between w:val="nil"/>
              </w:pBdr>
              <w:ind w:right="-198"/>
            </w:pPr>
            <w:r w:rsidRPr="000975BD">
              <w:rPr>
                <w:color w:val="000000"/>
              </w:rPr>
              <w:t xml:space="preserve">Understand how outside actors including the media, interest groups, and the public influence the </w:t>
            </w:r>
            <w:r w:rsidRPr="000975BD">
              <w:rPr>
                <w:color w:val="000000"/>
              </w:rPr>
              <w:lastRenderedPageBreak/>
              <w:t xml:space="preserve">behavior of political actors confronting health policy choices. </w:t>
            </w:r>
          </w:p>
          <w:p w14:paraId="60AA9556" w14:textId="77777777" w:rsidR="000975BD" w:rsidRPr="000975BD" w:rsidRDefault="000975BD" w:rsidP="000975BD">
            <w:pPr>
              <w:pStyle w:val="Normal1"/>
              <w:numPr>
                <w:ilvl w:val="0"/>
                <w:numId w:val="16"/>
              </w:numPr>
              <w:pBdr>
                <w:top w:val="nil"/>
                <w:left w:val="nil"/>
                <w:bottom w:val="nil"/>
                <w:right w:val="nil"/>
                <w:between w:val="nil"/>
              </w:pBdr>
              <w:ind w:right="-198"/>
            </w:pPr>
            <w:r w:rsidRPr="000975BD">
              <w:rPr>
                <w:color w:val="000000"/>
              </w:rPr>
              <w:t>Provide attendees with practice in critically evaluating pressing health policy problems.</w:t>
            </w:r>
          </w:p>
          <w:p w14:paraId="0B2FEAF9" w14:textId="77777777" w:rsidR="000975BD" w:rsidRPr="000975BD" w:rsidRDefault="000975BD" w:rsidP="000975BD">
            <w:pPr>
              <w:pStyle w:val="Normal1"/>
              <w:numPr>
                <w:ilvl w:val="0"/>
                <w:numId w:val="16"/>
              </w:numPr>
              <w:pBdr>
                <w:top w:val="nil"/>
                <w:left w:val="nil"/>
                <w:bottom w:val="nil"/>
                <w:right w:val="nil"/>
                <w:between w:val="nil"/>
              </w:pBdr>
              <w:ind w:right="-198"/>
            </w:pPr>
            <w:r w:rsidRPr="000975BD">
              <w:rPr>
                <w:color w:val="000000"/>
              </w:rPr>
              <w:t>Allow attendees to reflect on personal political and social opinions and their influence on understanding of policy and on advocacy work as evidence of critical thinking and an understanding of ethics in health policy.</w:t>
            </w:r>
          </w:p>
          <w:p w14:paraId="2759918F" w14:textId="77777777" w:rsidR="000975BD" w:rsidRPr="000975BD" w:rsidRDefault="000975BD" w:rsidP="000975BD">
            <w:pPr>
              <w:pStyle w:val="Normal1"/>
              <w:numPr>
                <w:ilvl w:val="0"/>
                <w:numId w:val="16"/>
              </w:numPr>
              <w:pBdr>
                <w:top w:val="nil"/>
                <w:left w:val="nil"/>
                <w:bottom w:val="nil"/>
                <w:right w:val="nil"/>
                <w:between w:val="nil"/>
              </w:pBdr>
              <w:ind w:right="-198"/>
            </w:pPr>
            <w:r w:rsidRPr="000975BD">
              <w:rPr>
                <w:color w:val="000000"/>
              </w:rPr>
              <w:t>Provide tools to critically appraise health policy from a psycho-social-political standpoint.</w:t>
            </w:r>
          </w:p>
          <w:p w14:paraId="3231DCE3" w14:textId="77777777" w:rsidR="000975BD" w:rsidRPr="000975BD" w:rsidRDefault="000975BD" w:rsidP="000975BD">
            <w:pPr>
              <w:pStyle w:val="Normal1"/>
              <w:numPr>
                <w:ilvl w:val="0"/>
                <w:numId w:val="16"/>
              </w:numPr>
              <w:pBdr>
                <w:top w:val="nil"/>
                <w:left w:val="nil"/>
                <w:bottom w:val="nil"/>
                <w:right w:val="nil"/>
                <w:between w:val="nil"/>
              </w:pBdr>
              <w:ind w:right="-198"/>
            </w:pPr>
            <w:r w:rsidRPr="000975BD">
              <w:rPr>
                <w:color w:val="000000"/>
              </w:rPr>
              <w:t>Discuss and practice appropriate ways to communicate difficult health policy topics with a variety of audiences.</w:t>
            </w:r>
          </w:p>
          <w:p w14:paraId="7A69517A" w14:textId="4EAF09EC" w:rsidR="000975BD" w:rsidRPr="000975BD" w:rsidRDefault="000975BD" w:rsidP="000975BD">
            <w:pPr>
              <w:pStyle w:val="PlainText"/>
              <w:rPr>
                <w:rFonts w:ascii="Times New Roman" w:eastAsia="MS Mincho" w:hAnsi="Times New Roman" w:cs="Times New Roman"/>
                <w:sz w:val="24"/>
                <w:szCs w:val="24"/>
              </w:rPr>
            </w:pPr>
          </w:p>
        </w:tc>
      </w:tr>
    </w:tbl>
    <w:p w14:paraId="39256569" w14:textId="77777777" w:rsidR="00DA5179" w:rsidRPr="00D45ECC" w:rsidRDefault="00DA5179" w:rsidP="00E6561E">
      <w:pPr>
        <w:pStyle w:val="Heading1"/>
      </w:pPr>
      <w:r w:rsidRPr="00E6561E">
        <w:lastRenderedPageBreak/>
        <w:t>Textbook and/or Resource Materials</w:t>
      </w:r>
    </w:p>
    <w:p w14:paraId="03626A02" w14:textId="5443462B" w:rsidR="00217D12" w:rsidRPr="00EA5267" w:rsidRDefault="00EA5267" w:rsidP="00EA5267">
      <w:pPr>
        <w:ind w:left="360"/>
        <w:rPr>
          <w:i/>
          <w:sz w:val="24"/>
          <w:szCs w:val="22"/>
        </w:rPr>
      </w:pPr>
      <w:r w:rsidRPr="00EA5267">
        <w:rPr>
          <w:rFonts w:cs="Times New Roman"/>
          <w:color w:val="222222"/>
          <w:sz w:val="24"/>
          <w:szCs w:val="22"/>
          <w:shd w:val="clear" w:color="auto" w:fill="FFFFFF"/>
        </w:rPr>
        <w:t>There are no required textbooks for this course. All readings can be found on Canvas or online</w:t>
      </w:r>
    </w:p>
    <w:p w14:paraId="296F141E" w14:textId="2CA88007" w:rsidR="005D7251" w:rsidRPr="005D7251" w:rsidRDefault="005D7251" w:rsidP="00E6561E">
      <w:pPr>
        <w:pStyle w:val="Heading1"/>
      </w:pPr>
      <w:r w:rsidRPr="005D7251">
        <w:t>Course Topics, Calendar of Activities, Major Assignment Dates</w:t>
      </w:r>
    </w:p>
    <w:p w14:paraId="197C2C24" w14:textId="26BAF0C0" w:rsidR="005D7251" w:rsidRPr="001B2D8D" w:rsidRDefault="001B2D8D" w:rsidP="00AF7CF1">
      <w:pPr>
        <w:pStyle w:val="NoSpacing"/>
        <w:rPr>
          <w:rFonts w:ascii="Times New Roman" w:hAnsi="Times New Roman" w:cs="Times New Roman"/>
          <w:b/>
          <w:bCs/>
          <w:sz w:val="22"/>
          <w:szCs w:val="22"/>
        </w:rPr>
      </w:pPr>
      <w:r w:rsidRPr="001B2D8D">
        <w:rPr>
          <w:rFonts w:ascii="Times New Roman" w:hAnsi="Times New Roman" w:cs="Times New Roman"/>
          <w:b/>
          <w:bCs/>
          <w:sz w:val="22"/>
          <w:szCs w:val="22"/>
        </w:rPr>
        <w:t>*Indicates reading is available on Canvas</w:t>
      </w:r>
    </w:p>
    <w:tbl>
      <w:tblPr>
        <w:tblStyle w:val="TableGrid"/>
        <w:tblW w:w="0" w:type="auto"/>
        <w:tblInd w:w="265" w:type="dxa"/>
        <w:tblLayout w:type="fixed"/>
        <w:tblLook w:val="04A0" w:firstRow="1" w:lastRow="0" w:firstColumn="1" w:lastColumn="0" w:noHBand="0" w:noVBand="1"/>
      </w:tblPr>
      <w:tblGrid>
        <w:gridCol w:w="810"/>
        <w:gridCol w:w="3690"/>
        <w:gridCol w:w="6025"/>
      </w:tblGrid>
      <w:tr w:rsidR="00DA5179" w:rsidRPr="00E6561E" w14:paraId="70E61F9A" w14:textId="77777777" w:rsidTr="00E31843">
        <w:trPr>
          <w:trHeight w:val="27"/>
        </w:trPr>
        <w:tc>
          <w:tcPr>
            <w:tcW w:w="810" w:type="dxa"/>
            <w:shd w:val="clear" w:color="auto" w:fill="808080" w:themeFill="background1" w:themeFillShade="80"/>
            <w:vAlign w:val="center"/>
          </w:tcPr>
          <w:p w14:paraId="46D91E81" w14:textId="77777777" w:rsidR="00DA5179" w:rsidRPr="009754E6" w:rsidRDefault="00DA5179" w:rsidP="000C7FB0">
            <w:pPr>
              <w:rPr>
                <w:rFonts w:cs="Times New Roman"/>
                <w:color w:val="FFFFFF" w:themeColor="background1"/>
                <w:szCs w:val="22"/>
              </w:rPr>
            </w:pPr>
            <w:r w:rsidRPr="009754E6">
              <w:rPr>
                <w:rFonts w:cs="Times New Roman"/>
                <w:color w:val="FFFFFF" w:themeColor="background1"/>
                <w:szCs w:val="22"/>
              </w:rPr>
              <w:t>Week</w:t>
            </w:r>
          </w:p>
        </w:tc>
        <w:tc>
          <w:tcPr>
            <w:tcW w:w="3690" w:type="dxa"/>
            <w:shd w:val="clear" w:color="auto" w:fill="808080" w:themeFill="background1" w:themeFillShade="80"/>
            <w:vAlign w:val="center"/>
          </w:tcPr>
          <w:p w14:paraId="12740E43" w14:textId="77777777" w:rsidR="00DA5179" w:rsidRPr="009754E6" w:rsidRDefault="00DA5179" w:rsidP="000C7FB0">
            <w:pPr>
              <w:rPr>
                <w:rFonts w:cs="Times New Roman"/>
                <w:color w:val="FFFFFF" w:themeColor="background1"/>
                <w:szCs w:val="22"/>
              </w:rPr>
            </w:pPr>
            <w:r w:rsidRPr="009754E6">
              <w:rPr>
                <w:rFonts w:cs="Times New Roman"/>
                <w:color w:val="FFFFFF" w:themeColor="background1"/>
                <w:szCs w:val="22"/>
              </w:rPr>
              <w:t>Topic(s)</w:t>
            </w:r>
          </w:p>
        </w:tc>
        <w:tc>
          <w:tcPr>
            <w:tcW w:w="6025" w:type="dxa"/>
            <w:shd w:val="clear" w:color="auto" w:fill="808080" w:themeFill="background1" w:themeFillShade="80"/>
            <w:vAlign w:val="center"/>
          </w:tcPr>
          <w:p w14:paraId="0953DA30" w14:textId="3AE81D08" w:rsidR="00DA5179" w:rsidRPr="009754E6" w:rsidRDefault="00DA5179" w:rsidP="000C7FB0">
            <w:pPr>
              <w:rPr>
                <w:rFonts w:cs="Times New Roman"/>
                <w:color w:val="FFFFFF" w:themeColor="background1"/>
                <w:szCs w:val="22"/>
              </w:rPr>
            </w:pPr>
            <w:r w:rsidRPr="009754E6">
              <w:rPr>
                <w:rFonts w:cs="Times New Roman"/>
                <w:color w:val="FFFFFF" w:themeColor="background1"/>
                <w:szCs w:val="22"/>
              </w:rPr>
              <w:t xml:space="preserve">Required Readings and </w:t>
            </w:r>
            <w:r w:rsidR="00E6561E" w:rsidRPr="009754E6">
              <w:rPr>
                <w:rFonts w:cs="Times New Roman"/>
                <w:color w:val="FFFFFF" w:themeColor="background1"/>
                <w:szCs w:val="22"/>
              </w:rPr>
              <w:t xml:space="preserve">Major </w:t>
            </w:r>
            <w:r w:rsidRPr="009754E6">
              <w:rPr>
                <w:rFonts w:cs="Times New Roman"/>
                <w:color w:val="FFFFFF" w:themeColor="background1"/>
                <w:szCs w:val="22"/>
              </w:rPr>
              <w:t>Assignments</w:t>
            </w:r>
          </w:p>
        </w:tc>
      </w:tr>
      <w:tr w:rsidR="001A286A" w:rsidRPr="00E6561E" w14:paraId="7F139478" w14:textId="77777777" w:rsidTr="00447D08">
        <w:trPr>
          <w:trHeight w:val="20"/>
        </w:trPr>
        <w:tc>
          <w:tcPr>
            <w:tcW w:w="810" w:type="dxa"/>
            <w:shd w:val="clear" w:color="auto" w:fill="auto"/>
            <w:vAlign w:val="center"/>
          </w:tcPr>
          <w:p w14:paraId="475751AE" w14:textId="77777777" w:rsidR="001A286A" w:rsidRPr="00AF7CF1" w:rsidRDefault="001A286A" w:rsidP="001A286A">
            <w:pPr>
              <w:rPr>
                <w:rFonts w:cs="Times New Roman"/>
                <w:sz w:val="24"/>
                <w:szCs w:val="24"/>
              </w:rPr>
            </w:pPr>
            <w:r w:rsidRPr="00AF7CF1">
              <w:rPr>
                <w:rFonts w:cs="Times New Roman"/>
                <w:sz w:val="24"/>
                <w:szCs w:val="24"/>
              </w:rPr>
              <w:t>1</w:t>
            </w:r>
          </w:p>
        </w:tc>
        <w:tc>
          <w:tcPr>
            <w:tcW w:w="3690" w:type="dxa"/>
            <w:shd w:val="clear" w:color="auto" w:fill="auto"/>
          </w:tcPr>
          <w:p w14:paraId="7BE54810" w14:textId="4CF0C012" w:rsidR="001A286A" w:rsidRPr="0088281F" w:rsidRDefault="001A286A" w:rsidP="001A286A">
            <w:pPr>
              <w:rPr>
                <w:rFonts w:cs="Times New Roman"/>
              </w:rPr>
            </w:pPr>
            <w:r w:rsidRPr="00AF5214">
              <w:rPr>
                <w:rFonts w:cs="Times New Roman"/>
              </w:rPr>
              <w:t>Introduction to the Course (1/1</w:t>
            </w:r>
            <w:r w:rsidR="00606AE4">
              <w:rPr>
                <w:rFonts w:cs="Times New Roman"/>
              </w:rPr>
              <w:t>9</w:t>
            </w:r>
            <w:r w:rsidRPr="00AF5214">
              <w:rPr>
                <w:rFonts w:cs="Times New Roman"/>
              </w:rPr>
              <w:t>)</w:t>
            </w:r>
          </w:p>
        </w:tc>
        <w:tc>
          <w:tcPr>
            <w:tcW w:w="6025" w:type="dxa"/>
            <w:shd w:val="clear" w:color="auto" w:fill="auto"/>
            <w:vAlign w:val="center"/>
          </w:tcPr>
          <w:p w14:paraId="260A956F" w14:textId="448BF291" w:rsidR="001A286A" w:rsidRPr="002244C1" w:rsidRDefault="00606AE4" w:rsidP="00606AE4">
            <w:pPr>
              <w:pStyle w:val="ColorfulList-Accent12"/>
              <w:ind w:left="0"/>
              <w:rPr>
                <w:rFonts w:ascii="Times New Roman" w:hAnsi="Times New Roman"/>
              </w:rPr>
            </w:pPr>
            <w:r>
              <w:rPr>
                <w:rFonts w:ascii="Times New Roman" w:hAnsi="Times New Roman"/>
              </w:rPr>
              <w:t>None</w:t>
            </w:r>
          </w:p>
        </w:tc>
      </w:tr>
      <w:tr w:rsidR="004367F8" w:rsidRPr="00E6561E" w14:paraId="497EC0F7" w14:textId="77777777" w:rsidTr="00FC2F3E">
        <w:trPr>
          <w:trHeight w:val="20"/>
        </w:trPr>
        <w:tc>
          <w:tcPr>
            <w:tcW w:w="810" w:type="dxa"/>
            <w:shd w:val="clear" w:color="auto" w:fill="auto"/>
            <w:vAlign w:val="center"/>
          </w:tcPr>
          <w:p w14:paraId="2D33B4EF" w14:textId="77777777" w:rsidR="004367F8" w:rsidRPr="00AF7CF1" w:rsidRDefault="004367F8" w:rsidP="004367F8">
            <w:pPr>
              <w:rPr>
                <w:rFonts w:cs="Times New Roman"/>
                <w:sz w:val="24"/>
                <w:szCs w:val="24"/>
              </w:rPr>
            </w:pPr>
            <w:r w:rsidRPr="00AF7CF1">
              <w:rPr>
                <w:rFonts w:cs="Times New Roman"/>
                <w:sz w:val="24"/>
                <w:szCs w:val="24"/>
              </w:rPr>
              <w:t>2</w:t>
            </w:r>
          </w:p>
        </w:tc>
        <w:tc>
          <w:tcPr>
            <w:tcW w:w="3690" w:type="dxa"/>
            <w:shd w:val="clear" w:color="auto" w:fill="auto"/>
            <w:vAlign w:val="center"/>
          </w:tcPr>
          <w:p w14:paraId="141038CE" w14:textId="485831D3" w:rsidR="004367F8" w:rsidRPr="00355C4F" w:rsidRDefault="004367F8" w:rsidP="004367F8">
            <w:pPr>
              <w:rPr>
                <w:rFonts w:cs="Times New Roman"/>
                <w:szCs w:val="22"/>
              </w:rPr>
            </w:pPr>
            <w:r w:rsidRPr="00355C4F">
              <w:rPr>
                <w:rFonts w:cs="Times New Roman"/>
                <w:szCs w:val="22"/>
              </w:rPr>
              <w:t>The Political Foundations of Public Health (1/2</w:t>
            </w:r>
            <w:r w:rsidR="00AC7D0F">
              <w:rPr>
                <w:rFonts w:cs="Times New Roman"/>
                <w:szCs w:val="22"/>
              </w:rPr>
              <w:t>4</w:t>
            </w:r>
            <w:r w:rsidRPr="00355C4F">
              <w:rPr>
                <w:rFonts w:cs="Times New Roman"/>
                <w:szCs w:val="22"/>
              </w:rPr>
              <w:t>)</w:t>
            </w:r>
          </w:p>
          <w:p w14:paraId="4D5FE6A4" w14:textId="77777777" w:rsidR="004367F8" w:rsidRPr="00355C4F" w:rsidRDefault="004367F8" w:rsidP="004367F8">
            <w:pPr>
              <w:rPr>
                <w:rFonts w:cs="Times New Roman"/>
                <w:szCs w:val="22"/>
              </w:rPr>
            </w:pPr>
          </w:p>
          <w:p w14:paraId="33B0F9AF" w14:textId="0E153258" w:rsidR="004367F8" w:rsidRPr="00355C4F" w:rsidRDefault="004367F8" w:rsidP="004367F8">
            <w:pPr>
              <w:rPr>
                <w:rFonts w:cs="Times New Roman"/>
                <w:sz w:val="24"/>
                <w:szCs w:val="24"/>
              </w:rPr>
            </w:pPr>
            <w:r w:rsidRPr="00355C4F">
              <w:rPr>
                <w:rFonts w:cs="Times New Roman"/>
                <w:szCs w:val="22"/>
              </w:rPr>
              <w:t>Political Participation and Voting Behavior (1/2</w:t>
            </w:r>
            <w:r w:rsidR="00AC7D0F">
              <w:rPr>
                <w:rFonts w:cs="Times New Roman"/>
                <w:szCs w:val="22"/>
              </w:rPr>
              <w:t>6</w:t>
            </w:r>
            <w:r w:rsidRPr="00355C4F">
              <w:rPr>
                <w:rFonts w:cs="Times New Roman"/>
                <w:szCs w:val="22"/>
              </w:rPr>
              <w:t>)</w:t>
            </w:r>
          </w:p>
        </w:tc>
        <w:tc>
          <w:tcPr>
            <w:tcW w:w="6025" w:type="dxa"/>
            <w:shd w:val="clear" w:color="auto" w:fill="auto"/>
            <w:vAlign w:val="center"/>
          </w:tcPr>
          <w:p w14:paraId="2C56510C" w14:textId="77777777" w:rsidR="004367F8" w:rsidRPr="00355C4F" w:rsidRDefault="004367F8" w:rsidP="004367F8">
            <w:pPr>
              <w:pStyle w:val="ListParagraph"/>
              <w:numPr>
                <w:ilvl w:val="0"/>
                <w:numId w:val="14"/>
              </w:numPr>
              <w:spacing w:before="0"/>
              <w:ind w:left="360"/>
              <w:rPr>
                <w:rStyle w:val="Hyperlink"/>
                <w:rFonts w:eastAsia="Times New Roman" w:cs="Times New Roman"/>
                <w:color w:val="auto"/>
                <w:szCs w:val="22"/>
                <w:u w:val="none"/>
              </w:rPr>
            </w:pPr>
            <w:r w:rsidRPr="00355C4F">
              <w:rPr>
                <w:rFonts w:eastAsia="Times New Roman" w:cs="Times New Roman"/>
                <w:szCs w:val="22"/>
              </w:rPr>
              <w:t xml:space="preserve">Health Care: Constitutional Rights and Legislative Powers. </w:t>
            </w:r>
            <w:hyperlink r:id="rId15" w:history="1">
              <w:r w:rsidRPr="00355C4F">
                <w:rPr>
                  <w:rStyle w:val="Hyperlink"/>
                  <w:rFonts w:eastAsia="Times New Roman" w:cs="Times New Roman"/>
                  <w:szCs w:val="22"/>
                </w:rPr>
                <w:t>https://www.fas.org/sgp/crs/misc/R40846.pdf</w:t>
              </w:r>
            </w:hyperlink>
          </w:p>
          <w:p w14:paraId="101F90EF" w14:textId="77777777" w:rsidR="004367F8" w:rsidRPr="00355C4F" w:rsidRDefault="004367F8" w:rsidP="004367F8">
            <w:pPr>
              <w:pStyle w:val="ListParagraph"/>
              <w:spacing w:before="0"/>
              <w:ind w:left="360"/>
              <w:rPr>
                <w:rStyle w:val="Hyperlink"/>
                <w:rFonts w:eastAsia="Times New Roman" w:cs="Times New Roman"/>
                <w:color w:val="auto"/>
                <w:szCs w:val="22"/>
                <w:u w:val="none"/>
              </w:rPr>
            </w:pPr>
          </w:p>
          <w:p w14:paraId="2607D2A7" w14:textId="77777777" w:rsidR="004367F8" w:rsidRPr="00355C4F" w:rsidRDefault="004367F8" w:rsidP="004367F8">
            <w:pPr>
              <w:pStyle w:val="ListParagraph"/>
              <w:numPr>
                <w:ilvl w:val="0"/>
                <w:numId w:val="14"/>
              </w:numPr>
              <w:spacing w:before="0"/>
              <w:ind w:left="360"/>
              <w:rPr>
                <w:rFonts w:eastAsia="Times New Roman" w:cs="Times New Roman"/>
                <w:szCs w:val="22"/>
              </w:rPr>
            </w:pPr>
            <w:r w:rsidRPr="00355C4F">
              <w:rPr>
                <w:rFonts w:eastAsia="Times New Roman" w:cs="Times New Roman"/>
                <w:szCs w:val="22"/>
              </w:rPr>
              <w:t xml:space="preserve">Campbell, Angus, Phillip Converse, Warren Miller, and Donald Stokes. 1960. </w:t>
            </w:r>
            <w:r w:rsidRPr="00355C4F">
              <w:rPr>
                <w:rFonts w:eastAsia="Times New Roman" w:cs="Times New Roman"/>
                <w:i/>
                <w:szCs w:val="22"/>
              </w:rPr>
              <w:t>The American Voter</w:t>
            </w:r>
            <w:r w:rsidRPr="00355C4F">
              <w:rPr>
                <w:rFonts w:eastAsia="Times New Roman" w:cs="Times New Roman"/>
                <w:szCs w:val="22"/>
              </w:rPr>
              <w:t xml:space="preserve">. Chicago: The University of Chicago Press. Chapters 2-3. </w:t>
            </w:r>
          </w:p>
          <w:p w14:paraId="276785A5" w14:textId="1529227E" w:rsidR="004367F8" w:rsidRPr="00355C4F" w:rsidRDefault="004367F8" w:rsidP="004367F8">
            <w:pPr>
              <w:pStyle w:val="ColorfulList-Accent12"/>
              <w:numPr>
                <w:ilvl w:val="0"/>
                <w:numId w:val="14"/>
              </w:numPr>
              <w:ind w:left="360"/>
              <w:rPr>
                <w:rFonts w:ascii="Times New Roman" w:hAnsi="Times New Roman"/>
              </w:rPr>
            </w:pPr>
            <w:r w:rsidRPr="00355C4F">
              <w:rPr>
                <w:rFonts w:ascii="Times New Roman" w:hAnsi="Times New Roman"/>
                <w:color w:val="222222"/>
                <w:shd w:val="clear" w:color="auto" w:fill="FFFFFF"/>
              </w:rPr>
              <w:t>Haselswerdt, J., 2017. Expanding Medicaid, Expanding the Electorate: The Affordable Care Act's Short-Term Impact on Political Participation. </w:t>
            </w:r>
            <w:r w:rsidRPr="00355C4F">
              <w:rPr>
                <w:rFonts w:ascii="Times New Roman" w:hAnsi="Times New Roman"/>
                <w:i/>
                <w:iCs/>
                <w:color w:val="222222"/>
                <w:shd w:val="clear" w:color="auto" w:fill="FFFFFF"/>
              </w:rPr>
              <w:t>Journal of Health Politics, Policy and Law</w:t>
            </w:r>
            <w:r w:rsidRPr="00355C4F">
              <w:rPr>
                <w:rFonts w:ascii="Times New Roman" w:hAnsi="Times New Roman"/>
                <w:color w:val="222222"/>
                <w:shd w:val="clear" w:color="auto" w:fill="FFFFFF"/>
              </w:rPr>
              <w:t>, p.3856107.</w:t>
            </w:r>
          </w:p>
        </w:tc>
      </w:tr>
      <w:tr w:rsidR="00747658" w:rsidRPr="00E6561E" w14:paraId="0BA76BC1" w14:textId="77777777" w:rsidTr="006D3312">
        <w:trPr>
          <w:trHeight w:val="20"/>
        </w:trPr>
        <w:tc>
          <w:tcPr>
            <w:tcW w:w="810" w:type="dxa"/>
            <w:shd w:val="clear" w:color="auto" w:fill="auto"/>
            <w:vAlign w:val="center"/>
          </w:tcPr>
          <w:p w14:paraId="1EBD9C26" w14:textId="77777777" w:rsidR="00747658" w:rsidRPr="00AF7CF1" w:rsidRDefault="00747658" w:rsidP="00747658">
            <w:pPr>
              <w:rPr>
                <w:rFonts w:cs="Times New Roman"/>
                <w:sz w:val="24"/>
                <w:szCs w:val="24"/>
              </w:rPr>
            </w:pPr>
            <w:r w:rsidRPr="00AF7CF1">
              <w:rPr>
                <w:rFonts w:cs="Times New Roman"/>
                <w:sz w:val="24"/>
                <w:szCs w:val="24"/>
              </w:rPr>
              <w:t>3</w:t>
            </w:r>
          </w:p>
        </w:tc>
        <w:tc>
          <w:tcPr>
            <w:tcW w:w="3690" w:type="dxa"/>
            <w:shd w:val="clear" w:color="auto" w:fill="auto"/>
            <w:vAlign w:val="center"/>
          </w:tcPr>
          <w:p w14:paraId="5F125385" w14:textId="0499F4D3" w:rsidR="00747658" w:rsidRPr="00CB774B" w:rsidRDefault="00747658" w:rsidP="00747658">
            <w:pPr>
              <w:rPr>
                <w:rFonts w:cs="Times New Roman"/>
                <w:szCs w:val="22"/>
              </w:rPr>
            </w:pPr>
            <w:r>
              <w:rPr>
                <w:rFonts w:cs="Times New Roman"/>
                <w:szCs w:val="22"/>
              </w:rPr>
              <w:t>Representation</w:t>
            </w:r>
            <w:r w:rsidRPr="00CB774B">
              <w:rPr>
                <w:rFonts w:cs="Times New Roman"/>
                <w:szCs w:val="22"/>
              </w:rPr>
              <w:t xml:space="preserve"> (</w:t>
            </w:r>
            <w:r w:rsidR="00AC7D0F">
              <w:rPr>
                <w:rFonts w:cs="Times New Roman"/>
                <w:szCs w:val="22"/>
              </w:rPr>
              <w:t>1/31</w:t>
            </w:r>
            <w:r w:rsidRPr="00CB774B">
              <w:rPr>
                <w:rFonts w:cs="Times New Roman"/>
                <w:szCs w:val="22"/>
              </w:rPr>
              <w:t>)</w:t>
            </w:r>
          </w:p>
          <w:p w14:paraId="5D1B0C00" w14:textId="77777777" w:rsidR="00747658" w:rsidRPr="00CB774B" w:rsidRDefault="00747658" w:rsidP="00747658">
            <w:pPr>
              <w:rPr>
                <w:rFonts w:cs="Times New Roman"/>
                <w:szCs w:val="22"/>
              </w:rPr>
            </w:pPr>
          </w:p>
          <w:p w14:paraId="6B1C1E2A" w14:textId="61BDB1C0" w:rsidR="00747658" w:rsidRPr="00AF7CF1" w:rsidRDefault="00747658" w:rsidP="00747658">
            <w:pPr>
              <w:rPr>
                <w:rFonts w:cs="Times New Roman"/>
                <w:sz w:val="24"/>
                <w:szCs w:val="24"/>
              </w:rPr>
            </w:pPr>
            <w:r>
              <w:rPr>
                <w:rFonts w:cs="Times New Roman"/>
                <w:szCs w:val="22"/>
              </w:rPr>
              <w:t>The Presidency</w:t>
            </w:r>
            <w:r w:rsidRPr="00CB774B">
              <w:rPr>
                <w:rFonts w:cs="Times New Roman"/>
                <w:szCs w:val="22"/>
              </w:rPr>
              <w:t xml:space="preserve"> (</w:t>
            </w:r>
            <w:r>
              <w:rPr>
                <w:rFonts w:cs="Times New Roman"/>
                <w:szCs w:val="22"/>
              </w:rPr>
              <w:t>2</w:t>
            </w:r>
            <w:r w:rsidRPr="00CB774B">
              <w:rPr>
                <w:rFonts w:cs="Times New Roman"/>
                <w:szCs w:val="22"/>
              </w:rPr>
              <w:t>/</w:t>
            </w:r>
            <w:r w:rsidR="00AC7D0F">
              <w:rPr>
                <w:rFonts w:cs="Times New Roman"/>
                <w:szCs w:val="22"/>
              </w:rPr>
              <w:t>2</w:t>
            </w:r>
            <w:r w:rsidRPr="00CB774B">
              <w:rPr>
                <w:rFonts w:cs="Times New Roman"/>
                <w:szCs w:val="22"/>
              </w:rPr>
              <w:t>)</w:t>
            </w:r>
          </w:p>
        </w:tc>
        <w:tc>
          <w:tcPr>
            <w:tcW w:w="6025" w:type="dxa"/>
            <w:shd w:val="clear" w:color="auto" w:fill="auto"/>
            <w:vAlign w:val="center"/>
          </w:tcPr>
          <w:p w14:paraId="2647C599" w14:textId="0B5070CF" w:rsidR="00747658" w:rsidRPr="00337DC4" w:rsidRDefault="00747658" w:rsidP="00747658">
            <w:pPr>
              <w:pStyle w:val="ListParagraph"/>
              <w:numPr>
                <w:ilvl w:val="0"/>
                <w:numId w:val="14"/>
              </w:numPr>
              <w:spacing w:before="0"/>
              <w:ind w:left="360"/>
              <w:rPr>
                <w:rFonts w:cs="Times New Roman"/>
              </w:rPr>
            </w:pPr>
            <w:proofErr w:type="spellStart"/>
            <w:r w:rsidRPr="00337DC4">
              <w:rPr>
                <w:rFonts w:cs="Times New Roman"/>
                <w:color w:val="222222"/>
                <w:shd w:val="clear" w:color="auto" w:fill="FFFFFF"/>
              </w:rPr>
              <w:t>Fenno</w:t>
            </w:r>
            <w:proofErr w:type="spellEnd"/>
            <w:r w:rsidRPr="00337DC4">
              <w:rPr>
                <w:rFonts w:cs="Times New Roman"/>
                <w:color w:val="222222"/>
                <w:shd w:val="clear" w:color="auto" w:fill="FFFFFF"/>
              </w:rPr>
              <w:t>, R.F., 1977. US House members in their constituencies: An exploration.</w:t>
            </w:r>
            <w:r w:rsidRPr="00337DC4">
              <w:rPr>
                <w:rStyle w:val="apple-converted-space"/>
                <w:rFonts w:cs="Times New Roman"/>
                <w:color w:val="222222"/>
                <w:shd w:val="clear" w:color="auto" w:fill="FFFFFF"/>
              </w:rPr>
              <w:t> </w:t>
            </w:r>
            <w:r w:rsidRPr="00337DC4">
              <w:rPr>
                <w:rFonts w:cs="Times New Roman"/>
                <w:i/>
                <w:iCs/>
                <w:color w:val="222222"/>
                <w:shd w:val="clear" w:color="auto" w:fill="FFFFFF"/>
              </w:rPr>
              <w:t>American Political Science Review</w:t>
            </w:r>
            <w:r w:rsidRPr="00337DC4">
              <w:rPr>
                <w:rFonts w:cs="Times New Roman"/>
                <w:color w:val="222222"/>
                <w:shd w:val="clear" w:color="auto" w:fill="FFFFFF"/>
              </w:rPr>
              <w:t>,</w:t>
            </w:r>
            <w:r w:rsidRPr="00337DC4">
              <w:rPr>
                <w:rStyle w:val="apple-converted-space"/>
                <w:rFonts w:cs="Times New Roman"/>
                <w:color w:val="222222"/>
                <w:shd w:val="clear" w:color="auto" w:fill="FFFFFF"/>
              </w:rPr>
              <w:t> </w:t>
            </w:r>
            <w:r w:rsidRPr="00337DC4">
              <w:rPr>
                <w:rFonts w:cs="Times New Roman"/>
                <w:i/>
                <w:iCs/>
                <w:color w:val="222222"/>
                <w:shd w:val="clear" w:color="auto" w:fill="FFFFFF"/>
              </w:rPr>
              <w:t>71</w:t>
            </w:r>
            <w:r w:rsidRPr="00337DC4">
              <w:rPr>
                <w:rFonts w:cs="Times New Roman"/>
                <w:color w:val="222222"/>
                <w:shd w:val="clear" w:color="auto" w:fill="FFFFFF"/>
              </w:rPr>
              <w:t xml:space="preserve">(03), </w:t>
            </w:r>
            <w:r w:rsidRPr="009F3626">
              <w:rPr>
                <w:rFonts w:cs="Times New Roman"/>
                <w:b/>
                <w:bCs/>
                <w:color w:val="222222"/>
                <w:shd w:val="clear" w:color="auto" w:fill="FFFFFF"/>
              </w:rPr>
              <w:t>pp.883-890</w:t>
            </w:r>
            <w:r w:rsidR="009F3626" w:rsidRPr="009F3626">
              <w:rPr>
                <w:rFonts w:cs="Times New Roman"/>
                <w:b/>
                <w:bCs/>
                <w:color w:val="222222"/>
                <w:shd w:val="clear" w:color="auto" w:fill="FFFFFF"/>
              </w:rPr>
              <w:t xml:space="preserve"> only</w:t>
            </w:r>
            <w:r w:rsidRPr="00337DC4">
              <w:rPr>
                <w:rFonts w:cs="Times New Roman"/>
                <w:color w:val="222222"/>
                <w:shd w:val="clear" w:color="auto" w:fill="FFFFFF"/>
              </w:rPr>
              <w:t xml:space="preserve">. </w:t>
            </w:r>
          </w:p>
          <w:p w14:paraId="2A744B29" w14:textId="03604C7D" w:rsidR="00747658" w:rsidRPr="002C6FDB" w:rsidRDefault="00747658" w:rsidP="00747658">
            <w:pPr>
              <w:pStyle w:val="ListParagraph"/>
              <w:numPr>
                <w:ilvl w:val="0"/>
                <w:numId w:val="14"/>
              </w:numPr>
              <w:spacing w:before="0"/>
              <w:ind w:left="360"/>
              <w:rPr>
                <w:rFonts w:cs="Times New Roman"/>
                <w:sz w:val="24"/>
                <w:szCs w:val="22"/>
              </w:rPr>
            </w:pPr>
            <w:r w:rsidRPr="00337DC4">
              <w:rPr>
                <w:rFonts w:cs="Times New Roman"/>
                <w:color w:val="222222"/>
                <w:shd w:val="clear" w:color="auto" w:fill="FFFFFF"/>
              </w:rPr>
              <w:t>Shapiro, R.Y. and Jacobs, L., 2010, April. Simulating representation: elite mobilization and political power in health care reform. In</w:t>
            </w:r>
            <w:r w:rsidRPr="00337DC4">
              <w:rPr>
                <w:rStyle w:val="apple-converted-space"/>
                <w:rFonts w:cs="Times New Roman"/>
                <w:color w:val="222222"/>
                <w:shd w:val="clear" w:color="auto" w:fill="FFFFFF"/>
              </w:rPr>
              <w:t> </w:t>
            </w:r>
            <w:r w:rsidRPr="00337DC4">
              <w:rPr>
                <w:rFonts w:cs="Times New Roman"/>
                <w:i/>
                <w:iCs/>
                <w:color w:val="222222"/>
                <w:shd w:val="clear" w:color="auto" w:fill="FFFFFF"/>
              </w:rPr>
              <w:t>The Forum</w:t>
            </w:r>
            <w:r w:rsidRPr="00337DC4">
              <w:rPr>
                <w:rStyle w:val="apple-converted-space"/>
                <w:rFonts w:cs="Times New Roman"/>
                <w:color w:val="222222"/>
                <w:shd w:val="clear" w:color="auto" w:fill="FFFFFF"/>
              </w:rPr>
              <w:t> </w:t>
            </w:r>
            <w:r w:rsidRPr="00337DC4">
              <w:rPr>
                <w:rFonts w:cs="Times New Roman"/>
                <w:color w:val="222222"/>
                <w:shd w:val="clear" w:color="auto" w:fill="FFFFFF"/>
              </w:rPr>
              <w:t>(Vol. 8, No. 1, p. 4).</w:t>
            </w:r>
          </w:p>
          <w:p w14:paraId="20631022" w14:textId="01F3133B" w:rsidR="002C6FDB" w:rsidRPr="002C6FDB" w:rsidRDefault="002C6FDB" w:rsidP="00747658">
            <w:pPr>
              <w:pStyle w:val="ListParagraph"/>
              <w:numPr>
                <w:ilvl w:val="0"/>
                <w:numId w:val="14"/>
              </w:numPr>
              <w:spacing w:before="0"/>
              <w:ind w:left="360"/>
              <w:rPr>
                <w:rFonts w:cs="Times New Roman"/>
                <w:sz w:val="28"/>
                <w:szCs w:val="24"/>
              </w:rPr>
            </w:pPr>
            <w:r w:rsidRPr="002C6FDB">
              <w:rPr>
                <w:rFonts w:cs="Times New Roman"/>
                <w:color w:val="222222"/>
                <w:szCs w:val="22"/>
                <w:shd w:val="clear" w:color="auto" w:fill="FFFFFF"/>
              </w:rPr>
              <w:t>Jones, D.K., Atkeson, P., Goodman, A. and Houston, M., 2021. More Public Health Leaders Should Run for Office. </w:t>
            </w:r>
            <w:r w:rsidRPr="002C6FDB">
              <w:rPr>
                <w:rFonts w:cs="Times New Roman"/>
                <w:i/>
                <w:iCs/>
                <w:color w:val="222222"/>
                <w:szCs w:val="22"/>
                <w:shd w:val="clear" w:color="auto" w:fill="FFFFFF"/>
              </w:rPr>
              <w:t>Journal of Public Health Management and Practice</w:t>
            </w:r>
            <w:r w:rsidRPr="002C6FDB">
              <w:rPr>
                <w:rFonts w:cs="Times New Roman"/>
                <w:color w:val="222222"/>
                <w:szCs w:val="22"/>
                <w:shd w:val="clear" w:color="auto" w:fill="FFFFFF"/>
              </w:rPr>
              <w:t>, </w:t>
            </w:r>
            <w:r w:rsidRPr="002C6FDB">
              <w:rPr>
                <w:rFonts w:cs="Times New Roman"/>
                <w:i/>
                <w:iCs/>
                <w:color w:val="222222"/>
                <w:szCs w:val="22"/>
                <w:shd w:val="clear" w:color="auto" w:fill="FFFFFF"/>
              </w:rPr>
              <w:t>27</w:t>
            </w:r>
            <w:r w:rsidRPr="002C6FDB">
              <w:rPr>
                <w:rFonts w:cs="Times New Roman"/>
                <w:color w:val="222222"/>
                <w:szCs w:val="22"/>
                <w:shd w:val="clear" w:color="auto" w:fill="FFFFFF"/>
              </w:rPr>
              <w:t>(1), pp.1-3.</w:t>
            </w:r>
          </w:p>
          <w:p w14:paraId="4A742FCC" w14:textId="77777777" w:rsidR="00747658" w:rsidRPr="00337DC4" w:rsidRDefault="00747658" w:rsidP="00747658">
            <w:pPr>
              <w:pStyle w:val="ListParagraph"/>
              <w:spacing w:before="0"/>
              <w:ind w:left="360"/>
              <w:rPr>
                <w:rFonts w:cs="Times New Roman"/>
                <w:sz w:val="24"/>
                <w:szCs w:val="22"/>
              </w:rPr>
            </w:pPr>
          </w:p>
          <w:p w14:paraId="30BE3296" w14:textId="6C162431" w:rsidR="00747658" w:rsidRPr="00AA503F" w:rsidRDefault="00747658" w:rsidP="00AA503F">
            <w:pPr>
              <w:pStyle w:val="ListParagraph"/>
              <w:numPr>
                <w:ilvl w:val="0"/>
                <w:numId w:val="14"/>
              </w:numPr>
              <w:spacing w:before="0"/>
              <w:ind w:left="360"/>
              <w:rPr>
                <w:rFonts w:eastAsia="Times New Roman" w:cs="Times New Roman"/>
                <w:szCs w:val="24"/>
              </w:rPr>
            </w:pPr>
            <w:r w:rsidRPr="00337DC4">
              <w:rPr>
                <w:rFonts w:eastAsia="Times New Roman" w:cs="Times New Roman"/>
                <w:szCs w:val="24"/>
              </w:rPr>
              <w:t xml:space="preserve">Richard Neustadt. 1980. Presidential Power. Chapters </w:t>
            </w:r>
            <w:r>
              <w:rPr>
                <w:rFonts w:eastAsia="Times New Roman" w:cs="Times New Roman"/>
                <w:szCs w:val="24"/>
              </w:rPr>
              <w:t xml:space="preserve">1-3 </w:t>
            </w:r>
          </w:p>
        </w:tc>
      </w:tr>
      <w:tr w:rsidR="0040030D" w:rsidRPr="00E6561E" w14:paraId="09360196" w14:textId="77777777" w:rsidTr="003802F6">
        <w:trPr>
          <w:trHeight w:val="20"/>
        </w:trPr>
        <w:tc>
          <w:tcPr>
            <w:tcW w:w="810" w:type="dxa"/>
            <w:shd w:val="clear" w:color="auto" w:fill="auto"/>
            <w:vAlign w:val="center"/>
          </w:tcPr>
          <w:p w14:paraId="30DD74A0" w14:textId="77777777" w:rsidR="0040030D" w:rsidRPr="00AF7CF1" w:rsidRDefault="0040030D" w:rsidP="0040030D">
            <w:pPr>
              <w:rPr>
                <w:rFonts w:cs="Times New Roman"/>
                <w:sz w:val="24"/>
                <w:szCs w:val="24"/>
              </w:rPr>
            </w:pPr>
            <w:r w:rsidRPr="00AF7CF1">
              <w:rPr>
                <w:rFonts w:cs="Times New Roman"/>
                <w:sz w:val="24"/>
                <w:szCs w:val="24"/>
              </w:rPr>
              <w:t>4</w:t>
            </w:r>
          </w:p>
        </w:tc>
        <w:tc>
          <w:tcPr>
            <w:tcW w:w="3690" w:type="dxa"/>
            <w:shd w:val="clear" w:color="auto" w:fill="auto"/>
          </w:tcPr>
          <w:p w14:paraId="1BE31FCE" w14:textId="26CCD827" w:rsidR="0040030D" w:rsidRPr="00CB774B" w:rsidRDefault="0040030D" w:rsidP="0040030D">
            <w:pPr>
              <w:rPr>
                <w:rFonts w:cs="Times New Roman"/>
                <w:szCs w:val="22"/>
              </w:rPr>
            </w:pPr>
            <w:r>
              <w:rPr>
                <w:rFonts w:cs="Times New Roman"/>
                <w:szCs w:val="22"/>
              </w:rPr>
              <w:t>Congressional Organization and Policymaking</w:t>
            </w:r>
            <w:r w:rsidRPr="00CB774B">
              <w:rPr>
                <w:rFonts w:cs="Times New Roman"/>
                <w:szCs w:val="22"/>
              </w:rPr>
              <w:t xml:space="preserve"> (</w:t>
            </w:r>
            <w:r>
              <w:rPr>
                <w:rFonts w:cs="Times New Roman"/>
                <w:szCs w:val="22"/>
              </w:rPr>
              <w:t>2</w:t>
            </w:r>
            <w:r w:rsidRPr="00CB774B">
              <w:rPr>
                <w:rFonts w:cs="Times New Roman"/>
                <w:szCs w:val="22"/>
              </w:rPr>
              <w:t>/</w:t>
            </w:r>
            <w:r w:rsidR="00DA234C">
              <w:rPr>
                <w:rFonts w:cs="Times New Roman"/>
                <w:szCs w:val="22"/>
              </w:rPr>
              <w:t>7</w:t>
            </w:r>
            <w:r w:rsidRPr="00CB774B">
              <w:rPr>
                <w:rFonts w:cs="Times New Roman"/>
                <w:szCs w:val="22"/>
              </w:rPr>
              <w:t>)</w:t>
            </w:r>
          </w:p>
          <w:p w14:paraId="7347E3B2" w14:textId="77777777" w:rsidR="0040030D" w:rsidRPr="00CB774B" w:rsidRDefault="0040030D" w:rsidP="0040030D">
            <w:pPr>
              <w:rPr>
                <w:rFonts w:cs="Times New Roman"/>
                <w:szCs w:val="22"/>
              </w:rPr>
            </w:pPr>
          </w:p>
          <w:p w14:paraId="3ACFE9BA" w14:textId="52F94039" w:rsidR="0040030D" w:rsidRPr="00AF7CF1" w:rsidRDefault="0040030D" w:rsidP="0040030D">
            <w:pPr>
              <w:rPr>
                <w:rFonts w:cs="Times New Roman"/>
                <w:sz w:val="24"/>
                <w:szCs w:val="24"/>
              </w:rPr>
            </w:pPr>
            <w:r>
              <w:rPr>
                <w:rFonts w:cs="Times New Roman"/>
                <w:szCs w:val="22"/>
              </w:rPr>
              <w:t>The Courts</w:t>
            </w:r>
            <w:r w:rsidRPr="00CB774B">
              <w:rPr>
                <w:rFonts w:cs="Times New Roman"/>
                <w:szCs w:val="22"/>
              </w:rPr>
              <w:t xml:space="preserve"> (</w:t>
            </w:r>
            <w:r>
              <w:rPr>
                <w:rFonts w:cs="Times New Roman"/>
                <w:szCs w:val="22"/>
              </w:rPr>
              <w:t>2</w:t>
            </w:r>
            <w:r w:rsidRPr="00CB774B">
              <w:rPr>
                <w:rFonts w:cs="Times New Roman"/>
                <w:szCs w:val="22"/>
              </w:rPr>
              <w:t>/</w:t>
            </w:r>
            <w:r w:rsidR="00DA234C">
              <w:rPr>
                <w:rFonts w:cs="Times New Roman"/>
                <w:szCs w:val="22"/>
              </w:rPr>
              <w:t>9</w:t>
            </w:r>
            <w:r w:rsidRPr="00CB774B">
              <w:rPr>
                <w:rFonts w:cs="Times New Roman"/>
                <w:szCs w:val="22"/>
              </w:rPr>
              <w:t>)</w:t>
            </w:r>
          </w:p>
        </w:tc>
        <w:tc>
          <w:tcPr>
            <w:tcW w:w="6025" w:type="dxa"/>
            <w:shd w:val="clear" w:color="auto" w:fill="auto"/>
          </w:tcPr>
          <w:p w14:paraId="4BFAFFA3" w14:textId="77777777" w:rsidR="0040030D" w:rsidRPr="00444547" w:rsidRDefault="0040030D" w:rsidP="0040030D">
            <w:pPr>
              <w:pStyle w:val="ListParagraph"/>
              <w:numPr>
                <w:ilvl w:val="0"/>
                <w:numId w:val="14"/>
              </w:numPr>
              <w:spacing w:before="0"/>
              <w:ind w:left="360"/>
              <w:rPr>
                <w:rFonts w:eastAsia="Times New Roman" w:cs="Times New Roman"/>
                <w:szCs w:val="22"/>
              </w:rPr>
            </w:pPr>
            <w:r w:rsidRPr="00444547">
              <w:rPr>
                <w:rFonts w:cs="Times New Roman"/>
                <w:color w:val="222222"/>
                <w:szCs w:val="22"/>
                <w:shd w:val="clear" w:color="auto" w:fill="FFFFFF"/>
              </w:rPr>
              <w:t>Lee, F.E., 2009.</w:t>
            </w:r>
            <w:r w:rsidRPr="00444547">
              <w:rPr>
                <w:rStyle w:val="apple-converted-space"/>
                <w:rFonts w:cs="Times New Roman"/>
                <w:color w:val="222222"/>
                <w:szCs w:val="22"/>
                <w:shd w:val="clear" w:color="auto" w:fill="FFFFFF"/>
              </w:rPr>
              <w:t> </w:t>
            </w:r>
            <w:r w:rsidRPr="00444547">
              <w:rPr>
                <w:rFonts w:cs="Times New Roman"/>
                <w:i/>
                <w:iCs/>
                <w:color w:val="222222"/>
                <w:szCs w:val="22"/>
                <w:shd w:val="clear" w:color="auto" w:fill="FFFFFF"/>
              </w:rPr>
              <w:t>Beyond ideology: politics, principles, and partisanship in the US Senate</w:t>
            </w:r>
            <w:r w:rsidRPr="00444547">
              <w:rPr>
                <w:rFonts w:cs="Times New Roman"/>
                <w:color w:val="222222"/>
                <w:szCs w:val="22"/>
                <w:shd w:val="clear" w:color="auto" w:fill="FFFFFF"/>
              </w:rPr>
              <w:t xml:space="preserve">. University of Chicago Press. Chapters </w:t>
            </w:r>
            <w:r w:rsidRPr="00037991">
              <w:rPr>
                <w:rFonts w:cs="Times New Roman"/>
                <w:color w:val="222222"/>
                <w:szCs w:val="22"/>
                <w:shd w:val="clear" w:color="auto" w:fill="FFFFFF"/>
              </w:rPr>
              <w:t>2-3.</w:t>
            </w:r>
            <w:r w:rsidRPr="00444547">
              <w:rPr>
                <w:rFonts w:cs="Times New Roman"/>
                <w:color w:val="222222"/>
                <w:szCs w:val="22"/>
                <w:shd w:val="clear" w:color="auto" w:fill="FFFFFF"/>
              </w:rPr>
              <w:t xml:space="preserve"> </w:t>
            </w:r>
          </w:p>
          <w:p w14:paraId="772DFE82" w14:textId="77777777" w:rsidR="0040030D" w:rsidRPr="00444547" w:rsidRDefault="0040030D" w:rsidP="0040030D">
            <w:pPr>
              <w:pStyle w:val="ListParagraph"/>
              <w:spacing w:before="0"/>
              <w:ind w:left="360"/>
              <w:rPr>
                <w:rFonts w:eastAsia="Times New Roman" w:cs="Times New Roman"/>
                <w:szCs w:val="22"/>
              </w:rPr>
            </w:pPr>
          </w:p>
          <w:p w14:paraId="488FA379" w14:textId="696D9C5B" w:rsidR="00547D06" w:rsidRDefault="00057F71" w:rsidP="00547D06">
            <w:pPr>
              <w:pStyle w:val="NoSpacing"/>
              <w:numPr>
                <w:ilvl w:val="0"/>
                <w:numId w:val="14"/>
              </w:numPr>
              <w:spacing w:before="0"/>
              <w:ind w:left="360"/>
              <w:rPr>
                <w:rFonts w:ascii="Times New Roman" w:eastAsia="Times New Roman" w:hAnsi="Times New Roman" w:cs="Times New Roman"/>
                <w:sz w:val="22"/>
                <w:szCs w:val="22"/>
              </w:rPr>
            </w:pPr>
            <w:r>
              <w:rPr>
                <w:rFonts w:ascii="Times New Roman" w:hAnsi="Times New Roman" w:cs="Times New Roman"/>
                <w:color w:val="222222"/>
                <w:sz w:val="22"/>
                <w:szCs w:val="22"/>
                <w:shd w:val="clear" w:color="auto" w:fill="FFFFFF"/>
              </w:rPr>
              <w:t xml:space="preserve">Burris, Scott. 2021. “Individual Liberty, Public Health, and the Battle for the Nation’s Soul.” </w:t>
            </w:r>
            <w:r w:rsidR="00547D06">
              <w:rPr>
                <w:rFonts w:ascii="Times New Roman" w:hAnsi="Times New Roman" w:cs="Times New Roman"/>
                <w:color w:val="222222"/>
                <w:sz w:val="22"/>
                <w:szCs w:val="22"/>
                <w:shd w:val="clear" w:color="auto" w:fill="FFFFFF"/>
              </w:rPr>
              <w:t xml:space="preserve">The Regulatory Review. </w:t>
            </w:r>
            <w:hyperlink r:id="rId16" w:history="1">
              <w:r w:rsidR="00547D06" w:rsidRPr="008B1437">
                <w:rPr>
                  <w:rStyle w:val="Hyperlink"/>
                  <w:rFonts w:ascii="Times New Roman" w:hAnsi="Times New Roman" w:cs="Times New Roman"/>
                  <w:sz w:val="22"/>
                  <w:szCs w:val="22"/>
                  <w:shd w:val="clear" w:color="auto" w:fill="FFFFFF"/>
                </w:rPr>
                <w:t>https://www.theregreview.org/2021/06/07/burris-individual-liberty-public-health-battle-for-nations-soul/</w:t>
              </w:r>
            </w:hyperlink>
          </w:p>
          <w:p w14:paraId="554668F9" w14:textId="08593E1D" w:rsidR="0040030D" w:rsidRPr="001F3DFF" w:rsidRDefault="0040030D" w:rsidP="001F3DFF">
            <w:pPr>
              <w:pStyle w:val="NoSpacing"/>
              <w:numPr>
                <w:ilvl w:val="0"/>
                <w:numId w:val="14"/>
              </w:numPr>
              <w:spacing w:before="0"/>
              <w:ind w:left="360"/>
              <w:rPr>
                <w:rFonts w:cstheme="minorHAnsi"/>
                <w:szCs w:val="22"/>
              </w:rPr>
            </w:pPr>
            <w:r w:rsidRPr="00444547">
              <w:rPr>
                <w:rFonts w:ascii="Times New Roman" w:hAnsi="Times New Roman" w:cs="Times New Roman"/>
                <w:color w:val="222222"/>
                <w:sz w:val="22"/>
                <w:szCs w:val="22"/>
                <w:shd w:val="clear" w:color="auto" w:fill="FFFFFF"/>
              </w:rPr>
              <w:t xml:space="preserve">Christenson, </w:t>
            </w:r>
            <w:proofErr w:type="gramStart"/>
            <w:r w:rsidRPr="00444547">
              <w:rPr>
                <w:rFonts w:ascii="Times New Roman" w:hAnsi="Times New Roman" w:cs="Times New Roman"/>
                <w:color w:val="222222"/>
                <w:sz w:val="22"/>
                <w:szCs w:val="22"/>
                <w:shd w:val="clear" w:color="auto" w:fill="FFFFFF"/>
              </w:rPr>
              <w:t>D.P.</w:t>
            </w:r>
            <w:proofErr w:type="gramEnd"/>
            <w:r w:rsidRPr="00444547">
              <w:rPr>
                <w:rFonts w:ascii="Times New Roman" w:hAnsi="Times New Roman" w:cs="Times New Roman"/>
                <w:color w:val="222222"/>
                <w:sz w:val="22"/>
                <w:szCs w:val="22"/>
                <w:shd w:val="clear" w:color="auto" w:fill="FFFFFF"/>
              </w:rPr>
              <w:t xml:space="preserve"> and Glick, D.M., 2015. Chief Justice Roberts's Health Care Decision Disrobed: The </w:t>
            </w:r>
            <w:proofErr w:type="spellStart"/>
            <w:r w:rsidRPr="00444547">
              <w:rPr>
                <w:rFonts w:ascii="Times New Roman" w:hAnsi="Times New Roman" w:cs="Times New Roman"/>
                <w:color w:val="222222"/>
                <w:sz w:val="22"/>
                <w:szCs w:val="22"/>
                <w:shd w:val="clear" w:color="auto" w:fill="FFFFFF"/>
              </w:rPr>
              <w:t>Microfoundations</w:t>
            </w:r>
            <w:proofErr w:type="spellEnd"/>
            <w:r w:rsidRPr="00444547">
              <w:rPr>
                <w:rFonts w:ascii="Times New Roman" w:hAnsi="Times New Roman" w:cs="Times New Roman"/>
                <w:color w:val="222222"/>
                <w:sz w:val="22"/>
                <w:szCs w:val="22"/>
                <w:shd w:val="clear" w:color="auto" w:fill="FFFFFF"/>
              </w:rPr>
              <w:t xml:space="preserve"> of the Supreme Court's Legitimacy.</w:t>
            </w:r>
            <w:r w:rsidRPr="00444547">
              <w:rPr>
                <w:rStyle w:val="apple-converted-space"/>
                <w:rFonts w:ascii="Times New Roman" w:hAnsi="Times New Roman" w:cs="Times New Roman"/>
                <w:color w:val="222222"/>
                <w:sz w:val="22"/>
                <w:szCs w:val="22"/>
                <w:shd w:val="clear" w:color="auto" w:fill="FFFFFF"/>
              </w:rPr>
              <w:t> </w:t>
            </w:r>
            <w:r w:rsidRPr="00444547">
              <w:rPr>
                <w:rFonts w:ascii="Times New Roman" w:hAnsi="Times New Roman" w:cs="Times New Roman"/>
                <w:i/>
                <w:iCs/>
                <w:color w:val="222222"/>
                <w:sz w:val="22"/>
                <w:szCs w:val="22"/>
                <w:shd w:val="clear" w:color="auto" w:fill="FFFFFF"/>
              </w:rPr>
              <w:t>American Journal of Political Science</w:t>
            </w:r>
            <w:r w:rsidRPr="00444547">
              <w:rPr>
                <w:rFonts w:ascii="Times New Roman" w:hAnsi="Times New Roman" w:cs="Times New Roman"/>
                <w:color w:val="222222"/>
                <w:sz w:val="22"/>
                <w:szCs w:val="22"/>
                <w:shd w:val="clear" w:color="auto" w:fill="FFFFFF"/>
              </w:rPr>
              <w:t>,</w:t>
            </w:r>
            <w:r w:rsidRPr="00444547">
              <w:rPr>
                <w:rStyle w:val="apple-converted-space"/>
                <w:rFonts w:ascii="Times New Roman" w:hAnsi="Times New Roman" w:cs="Times New Roman"/>
                <w:color w:val="222222"/>
                <w:sz w:val="22"/>
                <w:szCs w:val="22"/>
                <w:shd w:val="clear" w:color="auto" w:fill="FFFFFF"/>
              </w:rPr>
              <w:t> </w:t>
            </w:r>
            <w:r w:rsidRPr="00444547">
              <w:rPr>
                <w:rFonts w:ascii="Times New Roman" w:hAnsi="Times New Roman" w:cs="Times New Roman"/>
                <w:i/>
                <w:iCs/>
                <w:color w:val="222222"/>
                <w:sz w:val="22"/>
                <w:szCs w:val="22"/>
                <w:shd w:val="clear" w:color="auto" w:fill="FFFFFF"/>
              </w:rPr>
              <w:t>59</w:t>
            </w:r>
            <w:r w:rsidRPr="00444547">
              <w:rPr>
                <w:rFonts w:ascii="Times New Roman" w:hAnsi="Times New Roman" w:cs="Times New Roman"/>
                <w:color w:val="222222"/>
                <w:sz w:val="22"/>
                <w:szCs w:val="22"/>
                <w:shd w:val="clear" w:color="auto" w:fill="FFFFFF"/>
              </w:rPr>
              <w:t xml:space="preserve">(2), pp.403-418. </w:t>
            </w:r>
          </w:p>
        </w:tc>
      </w:tr>
      <w:tr w:rsidR="00DC4455" w:rsidRPr="00E6561E" w14:paraId="318A31E4" w14:textId="77777777" w:rsidTr="00A66F27">
        <w:trPr>
          <w:trHeight w:val="20"/>
        </w:trPr>
        <w:tc>
          <w:tcPr>
            <w:tcW w:w="810" w:type="dxa"/>
            <w:shd w:val="clear" w:color="auto" w:fill="auto"/>
            <w:vAlign w:val="center"/>
          </w:tcPr>
          <w:p w14:paraId="77E784E5" w14:textId="77777777" w:rsidR="00DC4455" w:rsidRPr="00AF7CF1" w:rsidRDefault="00DC4455" w:rsidP="00DC4455">
            <w:pPr>
              <w:rPr>
                <w:rFonts w:cs="Times New Roman"/>
                <w:sz w:val="24"/>
                <w:szCs w:val="24"/>
              </w:rPr>
            </w:pPr>
            <w:r w:rsidRPr="00AF7CF1">
              <w:rPr>
                <w:rFonts w:cs="Times New Roman"/>
                <w:sz w:val="24"/>
                <w:szCs w:val="24"/>
              </w:rPr>
              <w:t>5</w:t>
            </w:r>
          </w:p>
        </w:tc>
        <w:tc>
          <w:tcPr>
            <w:tcW w:w="3690" w:type="dxa"/>
            <w:shd w:val="clear" w:color="auto" w:fill="auto"/>
          </w:tcPr>
          <w:p w14:paraId="7FAFC73B" w14:textId="0B2AC415" w:rsidR="00DC4455" w:rsidRPr="00CB774B" w:rsidRDefault="00DC4455" w:rsidP="00DC4455">
            <w:pPr>
              <w:rPr>
                <w:rFonts w:cs="Times New Roman"/>
                <w:szCs w:val="22"/>
              </w:rPr>
            </w:pPr>
            <w:r>
              <w:rPr>
                <w:rFonts w:cs="Times New Roman"/>
                <w:szCs w:val="22"/>
              </w:rPr>
              <w:t>Bureaucracy</w:t>
            </w:r>
            <w:r w:rsidRPr="00CB774B">
              <w:rPr>
                <w:rFonts w:cs="Times New Roman"/>
                <w:szCs w:val="22"/>
              </w:rPr>
              <w:t xml:space="preserve"> (</w:t>
            </w:r>
            <w:r>
              <w:rPr>
                <w:rFonts w:cs="Times New Roman"/>
                <w:szCs w:val="22"/>
              </w:rPr>
              <w:t>2</w:t>
            </w:r>
            <w:r w:rsidRPr="00CB774B">
              <w:rPr>
                <w:rFonts w:cs="Times New Roman"/>
                <w:szCs w:val="22"/>
              </w:rPr>
              <w:t>/1</w:t>
            </w:r>
            <w:r w:rsidR="00DA234C">
              <w:rPr>
                <w:rFonts w:cs="Times New Roman"/>
                <w:szCs w:val="22"/>
              </w:rPr>
              <w:t>4</w:t>
            </w:r>
            <w:r w:rsidRPr="00CB774B">
              <w:rPr>
                <w:rFonts w:cs="Times New Roman"/>
                <w:szCs w:val="22"/>
              </w:rPr>
              <w:t>)</w:t>
            </w:r>
          </w:p>
          <w:p w14:paraId="157B2722" w14:textId="77777777" w:rsidR="00DC4455" w:rsidRPr="00CB774B" w:rsidRDefault="00DC4455" w:rsidP="00DC4455">
            <w:pPr>
              <w:rPr>
                <w:rFonts w:cs="Times New Roman"/>
                <w:szCs w:val="22"/>
              </w:rPr>
            </w:pPr>
          </w:p>
          <w:p w14:paraId="07E2483F" w14:textId="5F5BBEF1" w:rsidR="00DC4455" w:rsidRPr="00AF7CF1" w:rsidRDefault="00DC4455" w:rsidP="00DC4455">
            <w:pPr>
              <w:rPr>
                <w:rFonts w:cs="Times New Roman"/>
                <w:sz w:val="24"/>
                <w:szCs w:val="24"/>
              </w:rPr>
            </w:pPr>
            <w:r>
              <w:rPr>
                <w:rFonts w:cs="Times New Roman"/>
                <w:szCs w:val="22"/>
              </w:rPr>
              <w:t>Public Opinion</w:t>
            </w:r>
            <w:r w:rsidRPr="00CB774B">
              <w:rPr>
                <w:rFonts w:cs="Times New Roman"/>
                <w:szCs w:val="22"/>
              </w:rPr>
              <w:t xml:space="preserve"> (</w:t>
            </w:r>
            <w:r>
              <w:rPr>
                <w:rFonts w:cs="Times New Roman"/>
                <w:szCs w:val="22"/>
              </w:rPr>
              <w:t>2</w:t>
            </w:r>
            <w:r w:rsidRPr="00CB774B">
              <w:rPr>
                <w:rFonts w:cs="Times New Roman"/>
                <w:szCs w:val="22"/>
              </w:rPr>
              <w:t>/1</w:t>
            </w:r>
            <w:r w:rsidR="00DA234C">
              <w:rPr>
                <w:rFonts w:cs="Times New Roman"/>
                <w:szCs w:val="22"/>
              </w:rPr>
              <w:t>6</w:t>
            </w:r>
            <w:r w:rsidRPr="00CB774B">
              <w:rPr>
                <w:rFonts w:cs="Times New Roman"/>
                <w:szCs w:val="22"/>
              </w:rPr>
              <w:t>)</w:t>
            </w:r>
          </w:p>
        </w:tc>
        <w:tc>
          <w:tcPr>
            <w:tcW w:w="6025" w:type="dxa"/>
            <w:shd w:val="clear" w:color="auto" w:fill="auto"/>
          </w:tcPr>
          <w:p w14:paraId="592676D7" w14:textId="77777777" w:rsidR="00DC4455" w:rsidRPr="00444547" w:rsidRDefault="00DC4455" w:rsidP="00DC4455">
            <w:pPr>
              <w:pStyle w:val="ListParagraph"/>
              <w:numPr>
                <w:ilvl w:val="0"/>
                <w:numId w:val="14"/>
              </w:numPr>
              <w:spacing w:before="0"/>
              <w:ind w:left="360"/>
              <w:rPr>
                <w:rFonts w:cs="Times New Roman"/>
                <w:szCs w:val="22"/>
              </w:rPr>
            </w:pPr>
            <w:r w:rsidRPr="00444547">
              <w:rPr>
                <w:rFonts w:cs="Times New Roman"/>
                <w:color w:val="222222"/>
                <w:szCs w:val="22"/>
                <w:shd w:val="clear" w:color="auto" w:fill="FFFFFF"/>
              </w:rPr>
              <w:t xml:space="preserve">Bandler, James, Patricia Callahan, Sebastian Rotella, and Kirsten Berg. 2020. “Inside the Fall of the CDC.” Pro Publica. October 15, 2020. </w:t>
            </w:r>
            <w:hyperlink r:id="rId17" w:history="1">
              <w:r w:rsidRPr="00444547">
                <w:rPr>
                  <w:rStyle w:val="Hyperlink"/>
                  <w:rFonts w:cs="Times New Roman"/>
                  <w:szCs w:val="22"/>
                  <w:shd w:val="clear" w:color="auto" w:fill="FFFFFF"/>
                </w:rPr>
                <w:t>https://www.propublica.org/article/inside-the-fall-of-the-cdc</w:t>
              </w:r>
            </w:hyperlink>
          </w:p>
          <w:p w14:paraId="33A9F531" w14:textId="77777777" w:rsidR="00DC4455" w:rsidRPr="00444547" w:rsidRDefault="00DC4455" w:rsidP="00DC4455">
            <w:pPr>
              <w:pStyle w:val="ListParagraph"/>
              <w:spacing w:before="0"/>
              <w:ind w:left="360"/>
              <w:rPr>
                <w:rFonts w:cs="Times New Roman"/>
                <w:szCs w:val="22"/>
              </w:rPr>
            </w:pPr>
          </w:p>
          <w:p w14:paraId="1A301F89" w14:textId="77777777" w:rsidR="00DC4455" w:rsidRPr="00444547" w:rsidRDefault="00DC4455" w:rsidP="00DC4455">
            <w:pPr>
              <w:pStyle w:val="ListParagraph"/>
              <w:numPr>
                <w:ilvl w:val="0"/>
                <w:numId w:val="14"/>
              </w:numPr>
              <w:spacing w:before="0"/>
              <w:ind w:left="360"/>
              <w:rPr>
                <w:rFonts w:eastAsia="Times New Roman" w:cs="Times New Roman"/>
                <w:szCs w:val="22"/>
              </w:rPr>
            </w:pPr>
            <w:r w:rsidRPr="00444547">
              <w:rPr>
                <w:rFonts w:cs="Times New Roman"/>
                <w:color w:val="222222"/>
                <w:szCs w:val="22"/>
                <w:shd w:val="clear" w:color="auto" w:fill="FFFFFF"/>
              </w:rPr>
              <w:lastRenderedPageBreak/>
              <w:t>Converse, Phil E. 1964. “The Nature of Belief Systems in Mass Publics”</w:t>
            </w:r>
          </w:p>
          <w:p w14:paraId="4336903A" w14:textId="77777777" w:rsidR="00DC4455" w:rsidRPr="000A3458" w:rsidRDefault="00DC4455" w:rsidP="00DC4455">
            <w:pPr>
              <w:pStyle w:val="ListParagraph"/>
              <w:numPr>
                <w:ilvl w:val="0"/>
                <w:numId w:val="14"/>
              </w:numPr>
              <w:spacing w:before="0"/>
              <w:ind w:left="360"/>
              <w:rPr>
                <w:rFonts w:asciiTheme="minorHAnsi" w:hAnsiTheme="minorHAnsi" w:cstheme="minorHAnsi"/>
                <w:szCs w:val="22"/>
              </w:rPr>
            </w:pPr>
            <w:r w:rsidRPr="00444547">
              <w:rPr>
                <w:rFonts w:cs="Times New Roman"/>
                <w:color w:val="222222"/>
                <w:szCs w:val="22"/>
                <w:shd w:val="clear" w:color="auto" w:fill="FFFFFF"/>
              </w:rPr>
              <w:t>Jacobs, L.R. and Mettler, S., 2011. Why public opinion changes: The implications for health and health policy.</w:t>
            </w:r>
            <w:r w:rsidRPr="00444547">
              <w:rPr>
                <w:rStyle w:val="apple-converted-space"/>
                <w:rFonts w:cs="Times New Roman"/>
                <w:color w:val="222222"/>
                <w:szCs w:val="22"/>
                <w:shd w:val="clear" w:color="auto" w:fill="FFFFFF"/>
              </w:rPr>
              <w:t> </w:t>
            </w:r>
            <w:r w:rsidRPr="00444547">
              <w:rPr>
                <w:rFonts w:cs="Times New Roman"/>
                <w:i/>
                <w:iCs/>
                <w:color w:val="222222"/>
                <w:szCs w:val="22"/>
                <w:shd w:val="clear" w:color="auto" w:fill="FFFFFF"/>
              </w:rPr>
              <w:t>Journal of Health Politics, Policy and Law</w:t>
            </w:r>
            <w:r w:rsidRPr="00444547">
              <w:rPr>
                <w:rFonts w:cs="Times New Roman"/>
                <w:color w:val="222222"/>
                <w:szCs w:val="22"/>
                <w:shd w:val="clear" w:color="auto" w:fill="FFFFFF"/>
              </w:rPr>
              <w:t>,</w:t>
            </w:r>
            <w:r w:rsidRPr="00444547">
              <w:rPr>
                <w:rStyle w:val="apple-converted-space"/>
                <w:rFonts w:cs="Times New Roman"/>
                <w:color w:val="222222"/>
                <w:szCs w:val="22"/>
                <w:shd w:val="clear" w:color="auto" w:fill="FFFFFF"/>
              </w:rPr>
              <w:t> </w:t>
            </w:r>
            <w:r w:rsidRPr="00444547">
              <w:rPr>
                <w:rFonts w:cs="Times New Roman"/>
                <w:i/>
                <w:iCs/>
                <w:color w:val="222222"/>
                <w:szCs w:val="22"/>
                <w:shd w:val="clear" w:color="auto" w:fill="FFFFFF"/>
              </w:rPr>
              <w:t>36</w:t>
            </w:r>
            <w:r w:rsidRPr="00444547">
              <w:rPr>
                <w:rFonts w:cs="Times New Roman"/>
                <w:color w:val="222222"/>
                <w:szCs w:val="22"/>
                <w:shd w:val="clear" w:color="auto" w:fill="FFFFFF"/>
              </w:rPr>
              <w:t>(6), pp.917-933.</w:t>
            </w:r>
          </w:p>
          <w:p w14:paraId="1F47E986" w14:textId="77777777" w:rsidR="00DC4455" w:rsidRPr="00BE7C94" w:rsidRDefault="00DC4455" w:rsidP="00DC4455">
            <w:pPr>
              <w:pStyle w:val="ListParagraph"/>
              <w:numPr>
                <w:ilvl w:val="0"/>
                <w:numId w:val="14"/>
              </w:numPr>
              <w:spacing w:before="0"/>
              <w:ind w:left="360"/>
              <w:rPr>
                <w:rFonts w:asciiTheme="minorHAnsi" w:hAnsiTheme="minorHAnsi" w:cstheme="minorHAnsi"/>
                <w:szCs w:val="22"/>
              </w:rPr>
            </w:pPr>
            <w:r w:rsidRPr="00444547">
              <w:rPr>
                <w:rFonts w:cs="Times New Roman"/>
                <w:color w:val="222222"/>
                <w:szCs w:val="22"/>
                <w:shd w:val="clear" w:color="auto" w:fill="FFFFFF"/>
              </w:rPr>
              <w:t>Oliver, J.E. and Wood, T., 2014. Medical conspiracy theories and health behaviors in the United States.</w:t>
            </w:r>
            <w:r w:rsidRPr="00444547">
              <w:rPr>
                <w:rStyle w:val="apple-converted-space"/>
                <w:rFonts w:cs="Times New Roman"/>
                <w:color w:val="222222"/>
                <w:szCs w:val="22"/>
                <w:shd w:val="clear" w:color="auto" w:fill="FFFFFF"/>
              </w:rPr>
              <w:t> </w:t>
            </w:r>
            <w:r w:rsidRPr="00444547">
              <w:rPr>
                <w:rFonts w:cs="Times New Roman"/>
                <w:i/>
                <w:iCs/>
                <w:color w:val="222222"/>
                <w:szCs w:val="22"/>
                <w:shd w:val="clear" w:color="auto" w:fill="FFFFFF"/>
              </w:rPr>
              <w:t>JAMA internal medicine</w:t>
            </w:r>
            <w:r w:rsidRPr="00444547">
              <w:rPr>
                <w:rFonts w:cs="Times New Roman"/>
                <w:color w:val="222222"/>
                <w:szCs w:val="22"/>
                <w:shd w:val="clear" w:color="auto" w:fill="FFFFFF"/>
              </w:rPr>
              <w:t>,</w:t>
            </w:r>
            <w:r w:rsidRPr="00444547">
              <w:rPr>
                <w:rStyle w:val="apple-converted-space"/>
                <w:rFonts w:cs="Times New Roman"/>
                <w:color w:val="222222"/>
                <w:szCs w:val="22"/>
                <w:shd w:val="clear" w:color="auto" w:fill="FFFFFF"/>
              </w:rPr>
              <w:t> </w:t>
            </w:r>
            <w:r w:rsidRPr="00444547">
              <w:rPr>
                <w:rFonts w:cs="Times New Roman"/>
                <w:i/>
                <w:iCs/>
                <w:color w:val="222222"/>
                <w:szCs w:val="22"/>
                <w:shd w:val="clear" w:color="auto" w:fill="FFFFFF"/>
              </w:rPr>
              <w:t>174</w:t>
            </w:r>
            <w:r w:rsidRPr="00444547">
              <w:rPr>
                <w:rFonts w:cs="Times New Roman"/>
                <w:color w:val="222222"/>
                <w:szCs w:val="22"/>
                <w:shd w:val="clear" w:color="auto" w:fill="FFFFFF"/>
              </w:rPr>
              <w:t>(5), pp.817-818.</w:t>
            </w:r>
            <w:r>
              <w:rPr>
                <w:rFonts w:cs="Times New Roman"/>
                <w:color w:val="222222"/>
                <w:szCs w:val="22"/>
                <w:shd w:val="clear" w:color="auto" w:fill="FFFFFF"/>
              </w:rPr>
              <w:t xml:space="preserve"> </w:t>
            </w:r>
            <w:r w:rsidRPr="00BE7C94">
              <w:rPr>
                <w:rFonts w:cs="Times New Roman"/>
                <w:b/>
                <w:i/>
                <w:color w:val="222222"/>
                <w:szCs w:val="22"/>
                <w:shd w:val="clear" w:color="auto" w:fill="FFFFFF"/>
              </w:rPr>
              <w:t>For the interested reader only.</w:t>
            </w:r>
          </w:p>
          <w:p w14:paraId="0EFA4087" w14:textId="24D6751A" w:rsidR="00DC4455" w:rsidRPr="00C250D9" w:rsidRDefault="00DC4455" w:rsidP="00DC4455">
            <w:pPr>
              <w:pStyle w:val="ColorfulList-Accent12"/>
              <w:numPr>
                <w:ilvl w:val="0"/>
                <w:numId w:val="14"/>
              </w:numPr>
              <w:ind w:left="360"/>
              <w:rPr>
                <w:rFonts w:ascii="Times New Roman" w:eastAsia="Times New Roman" w:hAnsi="Times New Roman"/>
              </w:rPr>
            </w:pPr>
            <w:proofErr w:type="spellStart"/>
            <w:r w:rsidRPr="00C250D9">
              <w:rPr>
                <w:rFonts w:ascii="Times New Roman" w:hAnsi="Times New Roman"/>
                <w:color w:val="222222"/>
                <w:shd w:val="clear" w:color="auto" w:fill="FFFFFF"/>
              </w:rPr>
              <w:t>Gadarian</w:t>
            </w:r>
            <w:proofErr w:type="spellEnd"/>
            <w:r w:rsidRPr="00C250D9">
              <w:rPr>
                <w:rFonts w:ascii="Times New Roman" w:hAnsi="Times New Roman"/>
                <w:color w:val="222222"/>
                <w:shd w:val="clear" w:color="auto" w:fill="FFFFFF"/>
              </w:rPr>
              <w:t xml:space="preserve">, Shana, Sara Goodman, and Thomas </w:t>
            </w:r>
            <w:proofErr w:type="spellStart"/>
            <w:r w:rsidRPr="00C250D9">
              <w:rPr>
                <w:rFonts w:ascii="Times New Roman" w:hAnsi="Times New Roman"/>
                <w:color w:val="222222"/>
                <w:shd w:val="clear" w:color="auto" w:fill="FFFFFF"/>
              </w:rPr>
              <w:t>Pepinsky</w:t>
            </w:r>
            <w:proofErr w:type="spellEnd"/>
            <w:r w:rsidRPr="00C250D9">
              <w:rPr>
                <w:rFonts w:ascii="Times New Roman" w:hAnsi="Times New Roman"/>
                <w:color w:val="222222"/>
                <w:shd w:val="clear" w:color="auto" w:fill="FFFFFF"/>
              </w:rPr>
              <w:t xml:space="preserve">. 2021. “Partisanship, Health Behavior, and Policy Attitudes in the Early States of the COVID-19 Pandemic.” </w:t>
            </w:r>
            <w:r w:rsidRPr="00C250D9">
              <w:rPr>
                <w:rFonts w:ascii="Times New Roman" w:hAnsi="Times New Roman"/>
                <w:b/>
                <w:i/>
                <w:color w:val="222222"/>
                <w:shd w:val="clear" w:color="auto" w:fill="FFFFFF"/>
              </w:rPr>
              <w:t>For the interested reader only.</w:t>
            </w:r>
          </w:p>
        </w:tc>
      </w:tr>
      <w:tr w:rsidR="0026204A" w:rsidRPr="00E6561E" w14:paraId="6041A7F5" w14:textId="77777777" w:rsidTr="00987399">
        <w:trPr>
          <w:trHeight w:val="20"/>
        </w:trPr>
        <w:tc>
          <w:tcPr>
            <w:tcW w:w="810" w:type="dxa"/>
            <w:shd w:val="clear" w:color="auto" w:fill="auto"/>
            <w:vAlign w:val="center"/>
          </w:tcPr>
          <w:p w14:paraId="1DA8D02C" w14:textId="77777777" w:rsidR="0026204A" w:rsidRPr="00AF7CF1" w:rsidRDefault="0026204A" w:rsidP="0026204A">
            <w:pPr>
              <w:rPr>
                <w:rFonts w:cs="Times New Roman"/>
                <w:sz w:val="24"/>
                <w:szCs w:val="24"/>
              </w:rPr>
            </w:pPr>
            <w:r w:rsidRPr="00AF7CF1">
              <w:rPr>
                <w:rFonts w:cs="Times New Roman"/>
                <w:sz w:val="24"/>
                <w:szCs w:val="24"/>
              </w:rPr>
              <w:lastRenderedPageBreak/>
              <w:t>6</w:t>
            </w:r>
          </w:p>
        </w:tc>
        <w:tc>
          <w:tcPr>
            <w:tcW w:w="3690" w:type="dxa"/>
            <w:shd w:val="clear" w:color="auto" w:fill="auto"/>
            <w:vAlign w:val="center"/>
          </w:tcPr>
          <w:p w14:paraId="760D1153" w14:textId="1F61B109" w:rsidR="0026204A" w:rsidRPr="00CB774B" w:rsidRDefault="0026204A" w:rsidP="0026204A">
            <w:pPr>
              <w:rPr>
                <w:rFonts w:cs="Times New Roman"/>
                <w:szCs w:val="22"/>
              </w:rPr>
            </w:pPr>
            <w:r>
              <w:rPr>
                <w:rFonts w:cs="Times New Roman"/>
                <w:szCs w:val="22"/>
              </w:rPr>
              <w:t>Interest Groups</w:t>
            </w:r>
            <w:r w:rsidRPr="00CB774B">
              <w:rPr>
                <w:rFonts w:cs="Times New Roman"/>
                <w:szCs w:val="22"/>
              </w:rPr>
              <w:t xml:space="preserve"> (</w:t>
            </w:r>
            <w:r>
              <w:rPr>
                <w:rFonts w:cs="Times New Roman"/>
                <w:szCs w:val="22"/>
              </w:rPr>
              <w:t>2</w:t>
            </w:r>
            <w:r w:rsidRPr="00CB774B">
              <w:rPr>
                <w:rFonts w:cs="Times New Roman"/>
                <w:szCs w:val="22"/>
              </w:rPr>
              <w:t>/2</w:t>
            </w:r>
            <w:r w:rsidR="00DA234C">
              <w:rPr>
                <w:rFonts w:cs="Times New Roman"/>
                <w:szCs w:val="22"/>
              </w:rPr>
              <w:t>1</w:t>
            </w:r>
            <w:r w:rsidRPr="00CB774B">
              <w:rPr>
                <w:rFonts w:cs="Times New Roman"/>
                <w:szCs w:val="22"/>
              </w:rPr>
              <w:t>)</w:t>
            </w:r>
          </w:p>
          <w:p w14:paraId="6E5E885F" w14:textId="77777777" w:rsidR="0026204A" w:rsidRPr="00CB774B" w:rsidRDefault="0026204A" w:rsidP="0026204A">
            <w:pPr>
              <w:rPr>
                <w:rFonts w:cs="Times New Roman"/>
                <w:szCs w:val="22"/>
              </w:rPr>
            </w:pPr>
          </w:p>
          <w:p w14:paraId="7046E160" w14:textId="5B637868" w:rsidR="0026204A" w:rsidRPr="00AF7CF1" w:rsidRDefault="0026204A" w:rsidP="0026204A">
            <w:pPr>
              <w:rPr>
                <w:rFonts w:cs="Times New Roman"/>
                <w:sz w:val="24"/>
                <w:szCs w:val="24"/>
              </w:rPr>
            </w:pPr>
            <w:r>
              <w:rPr>
                <w:rFonts w:cs="Times New Roman"/>
                <w:szCs w:val="22"/>
              </w:rPr>
              <w:t>Policy Feedback</w:t>
            </w:r>
            <w:r w:rsidRPr="00CB774B">
              <w:rPr>
                <w:rFonts w:cs="Times New Roman"/>
                <w:szCs w:val="22"/>
              </w:rPr>
              <w:t xml:space="preserve"> (</w:t>
            </w:r>
            <w:r>
              <w:rPr>
                <w:rFonts w:cs="Times New Roman"/>
                <w:szCs w:val="22"/>
              </w:rPr>
              <w:t>2</w:t>
            </w:r>
            <w:r w:rsidRPr="00CB774B">
              <w:rPr>
                <w:rFonts w:cs="Times New Roman"/>
                <w:szCs w:val="22"/>
              </w:rPr>
              <w:t>/2</w:t>
            </w:r>
            <w:r w:rsidR="00DA234C">
              <w:rPr>
                <w:rFonts w:cs="Times New Roman"/>
                <w:szCs w:val="22"/>
              </w:rPr>
              <w:t>3</w:t>
            </w:r>
            <w:r w:rsidRPr="00CB774B">
              <w:rPr>
                <w:rFonts w:cs="Times New Roman"/>
                <w:szCs w:val="22"/>
              </w:rPr>
              <w:t>)</w:t>
            </w:r>
          </w:p>
        </w:tc>
        <w:tc>
          <w:tcPr>
            <w:tcW w:w="6025" w:type="dxa"/>
            <w:shd w:val="clear" w:color="auto" w:fill="auto"/>
            <w:vAlign w:val="center"/>
          </w:tcPr>
          <w:p w14:paraId="31C7F75E" w14:textId="77777777" w:rsidR="0026204A" w:rsidRPr="00444547" w:rsidRDefault="0026204A" w:rsidP="0026204A">
            <w:pPr>
              <w:pStyle w:val="ListParagraph"/>
              <w:numPr>
                <w:ilvl w:val="0"/>
                <w:numId w:val="14"/>
              </w:numPr>
              <w:spacing w:before="0"/>
              <w:ind w:left="360"/>
              <w:rPr>
                <w:rFonts w:eastAsia="Times New Roman" w:cs="Times New Roman"/>
                <w:szCs w:val="24"/>
              </w:rPr>
            </w:pPr>
            <w:r w:rsidRPr="00444547">
              <w:rPr>
                <w:rFonts w:cs="Times New Roman"/>
                <w:color w:val="222222"/>
                <w:shd w:val="clear" w:color="auto" w:fill="FFFFFF"/>
              </w:rPr>
              <w:t>Walker, J.L., 1983. The origins and maintenance of interest groups in America.</w:t>
            </w:r>
            <w:r w:rsidRPr="00444547">
              <w:rPr>
                <w:rStyle w:val="apple-converted-space"/>
                <w:rFonts w:cs="Times New Roman"/>
                <w:color w:val="222222"/>
                <w:shd w:val="clear" w:color="auto" w:fill="FFFFFF"/>
              </w:rPr>
              <w:t> </w:t>
            </w:r>
            <w:r w:rsidRPr="00444547">
              <w:rPr>
                <w:rFonts w:cs="Times New Roman"/>
                <w:i/>
                <w:iCs/>
                <w:color w:val="222222"/>
                <w:shd w:val="clear" w:color="auto" w:fill="FFFFFF"/>
              </w:rPr>
              <w:t>American Political Science Review</w:t>
            </w:r>
            <w:r w:rsidRPr="00444547">
              <w:rPr>
                <w:rFonts w:cs="Times New Roman"/>
                <w:color w:val="222222"/>
                <w:shd w:val="clear" w:color="auto" w:fill="FFFFFF"/>
              </w:rPr>
              <w:t>,</w:t>
            </w:r>
            <w:r w:rsidRPr="00444547">
              <w:rPr>
                <w:rStyle w:val="apple-converted-space"/>
                <w:rFonts w:cs="Times New Roman"/>
                <w:color w:val="222222"/>
                <w:shd w:val="clear" w:color="auto" w:fill="FFFFFF"/>
              </w:rPr>
              <w:t> </w:t>
            </w:r>
            <w:r w:rsidRPr="00444547">
              <w:rPr>
                <w:rFonts w:cs="Times New Roman"/>
                <w:i/>
                <w:iCs/>
                <w:color w:val="222222"/>
                <w:shd w:val="clear" w:color="auto" w:fill="FFFFFF"/>
              </w:rPr>
              <w:t>77</w:t>
            </w:r>
            <w:r w:rsidRPr="00444547">
              <w:rPr>
                <w:rFonts w:cs="Times New Roman"/>
                <w:color w:val="222222"/>
                <w:shd w:val="clear" w:color="auto" w:fill="FFFFFF"/>
              </w:rPr>
              <w:t xml:space="preserve">(02), pp.390-406. </w:t>
            </w:r>
          </w:p>
          <w:p w14:paraId="5F698DC4" w14:textId="77777777" w:rsidR="0026204A" w:rsidRPr="00444547" w:rsidRDefault="0026204A" w:rsidP="0026204A">
            <w:pPr>
              <w:pStyle w:val="ListParagraph"/>
              <w:numPr>
                <w:ilvl w:val="0"/>
                <w:numId w:val="14"/>
              </w:numPr>
              <w:spacing w:before="0"/>
              <w:ind w:left="360"/>
              <w:rPr>
                <w:rFonts w:eastAsia="Times New Roman" w:cs="Times New Roman"/>
                <w:szCs w:val="24"/>
              </w:rPr>
            </w:pPr>
            <w:r w:rsidRPr="00444547">
              <w:rPr>
                <w:rFonts w:cs="Times New Roman"/>
                <w:color w:val="222222"/>
                <w:shd w:val="clear" w:color="auto" w:fill="FFFFFF"/>
              </w:rPr>
              <w:t xml:space="preserve">Callaghan, </w:t>
            </w:r>
            <w:proofErr w:type="gramStart"/>
            <w:r w:rsidRPr="00444547">
              <w:rPr>
                <w:rFonts w:cs="Times New Roman"/>
                <w:color w:val="222222"/>
                <w:shd w:val="clear" w:color="auto" w:fill="FFFFFF"/>
              </w:rPr>
              <w:t>T.</w:t>
            </w:r>
            <w:proofErr w:type="gramEnd"/>
            <w:r w:rsidRPr="00444547">
              <w:rPr>
                <w:rFonts w:cs="Times New Roman"/>
                <w:color w:val="222222"/>
                <w:shd w:val="clear" w:color="auto" w:fill="FFFFFF"/>
              </w:rPr>
              <w:t xml:space="preserve"> and Jacobs, L.R., 2016. Interest Group Conflict Over Medicaid Expansion: The Surprising Impact of Public Advocates.</w:t>
            </w:r>
            <w:r w:rsidRPr="00444547">
              <w:rPr>
                <w:rStyle w:val="apple-converted-space"/>
                <w:rFonts w:cs="Times New Roman"/>
                <w:color w:val="222222"/>
                <w:shd w:val="clear" w:color="auto" w:fill="FFFFFF"/>
              </w:rPr>
              <w:t> </w:t>
            </w:r>
            <w:r w:rsidRPr="00444547">
              <w:rPr>
                <w:rFonts w:cs="Times New Roman"/>
                <w:i/>
                <w:iCs/>
                <w:color w:val="222222"/>
                <w:shd w:val="clear" w:color="auto" w:fill="FFFFFF"/>
              </w:rPr>
              <w:t>American journal of public health</w:t>
            </w:r>
            <w:r w:rsidRPr="00444547">
              <w:rPr>
                <w:rFonts w:cs="Times New Roman"/>
                <w:color w:val="222222"/>
                <w:shd w:val="clear" w:color="auto" w:fill="FFFFFF"/>
              </w:rPr>
              <w:t>,</w:t>
            </w:r>
            <w:r w:rsidRPr="00444547">
              <w:rPr>
                <w:rStyle w:val="apple-converted-space"/>
                <w:rFonts w:cs="Times New Roman"/>
                <w:color w:val="222222"/>
                <w:shd w:val="clear" w:color="auto" w:fill="FFFFFF"/>
              </w:rPr>
              <w:t> </w:t>
            </w:r>
            <w:r w:rsidRPr="00444547">
              <w:rPr>
                <w:rFonts w:cs="Times New Roman"/>
                <w:i/>
                <w:iCs/>
                <w:color w:val="222222"/>
                <w:shd w:val="clear" w:color="auto" w:fill="FFFFFF"/>
              </w:rPr>
              <w:t>106</w:t>
            </w:r>
            <w:r w:rsidRPr="00444547">
              <w:rPr>
                <w:rFonts w:cs="Times New Roman"/>
                <w:color w:val="222222"/>
                <w:shd w:val="clear" w:color="auto" w:fill="FFFFFF"/>
              </w:rPr>
              <w:t>(2), pp.308-313</w:t>
            </w:r>
          </w:p>
          <w:p w14:paraId="6F707004" w14:textId="77777777" w:rsidR="0026204A" w:rsidRPr="00444547" w:rsidRDefault="0026204A" w:rsidP="0026204A">
            <w:pPr>
              <w:pStyle w:val="ListParagraph"/>
              <w:spacing w:before="0"/>
              <w:ind w:left="360"/>
              <w:rPr>
                <w:rFonts w:eastAsia="Times New Roman" w:cs="Times New Roman"/>
                <w:szCs w:val="24"/>
              </w:rPr>
            </w:pPr>
          </w:p>
          <w:p w14:paraId="47864529" w14:textId="77777777" w:rsidR="0026204A" w:rsidRPr="00801B42" w:rsidRDefault="0026204A" w:rsidP="0026204A">
            <w:pPr>
              <w:pStyle w:val="ListParagraph"/>
              <w:numPr>
                <w:ilvl w:val="0"/>
                <w:numId w:val="14"/>
              </w:numPr>
              <w:spacing w:before="0"/>
              <w:ind w:left="360"/>
              <w:rPr>
                <w:rFonts w:asciiTheme="minorHAnsi" w:hAnsiTheme="minorHAnsi" w:cstheme="minorHAnsi"/>
                <w:szCs w:val="22"/>
              </w:rPr>
            </w:pPr>
            <w:r w:rsidRPr="00444547">
              <w:rPr>
                <w:rFonts w:cs="Times New Roman"/>
                <w:color w:val="222222"/>
                <w:shd w:val="clear" w:color="auto" w:fill="FFFFFF"/>
              </w:rPr>
              <w:t>Pierson, P., 1993. When effect becomes cause: Policy feedback and political change.</w:t>
            </w:r>
            <w:r w:rsidRPr="00444547">
              <w:rPr>
                <w:rStyle w:val="apple-converted-space"/>
                <w:rFonts w:cs="Times New Roman"/>
                <w:color w:val="222222"/>
                <w:shd w:val="clear" w:color="auto" w:fill="FFFFFF"/>
              </w:rPr>
              <w:t> </w:t>
            </w:r>
            <w:r w:rsidRPr="00444547">
              <w:rPr>
                <w:rFonts w:cs="Times New Roman"/>
                <w:i/>
                <w:iCs/>
                <w:color w:val="222222"/>
                <w:shd w:val="clear" w:color="auto" w:fill="FFFFFF"/>
              </w:rPr>
              <w:t>World politics</w:t>
            </w:r>
            <w:r w:rsidRPr="00444547">
              <w:rPr>
                <w:rFonts w:cs="Times New Roman"/>
                <w:color w:val="222222"/>
                <w:shd w:val="clear" w:color="auto" w:fill="FFFFFF"/>
              </w:rPr>
              <w:t>,</w:t>
            </w:r>
            <w:r w:rsidRPr="00444547">
              <w:rPr>
                <w:rStyle w:val="apple-converted-space"/>
                <w:rFonts w:cs="Times New Roman"/>
                <w:color w:val="222222"/>
                <w:shd w:val="clear" w:color="auto" w:fill="FFFFFF"/>
              </w:rPr>
              <w:t> </w:t>
            </w:r>
            <w:r w:rsidRPr="00444547">
              <w:rPr>
                <w:rFonts w:cs="Times New Roman"/>
                <w:i/>
                <w:iCs/>
                <w:color w:val="222222"/>
                <w:shd w:val="clear" w:color="auto" w:fill="FFFFFF"/>
              </w:rPr>
              <w:t>45</w:t>
            </w:r>
            <w:r w:rsidRPr="00444547">
              <w:rPr>
                <w:rFonts w:cs="Times New Roman"/>
                <w:color w:val="222222"/>
                <w:shd w:val="clear" w:color="auto" w:fill="FFFFFF"/>
              </w:rPr>
              <w:t>(04), pp.595-628.</w:t>
            </w:r>
          </w:p>
          <w:p w14:paraId="6A412552" w14:textId="05180B8B" w:rsidR="0026204A" w:rsidRPr="00B72856" w:rsidRDefault="0026204A" w:rsidP="0026204A">
            <w:pPr>
              <w:pStyle w:val="ColorfulList-Accent12"/>
              <w:numPr>
                <w:ilvl w:val="0"/>
                <w:numId w:val="14"/>
              </w:numPr>
              <w:ind w:left="360"/>
              <w:rPr>
                <w:rFonts w:ascii="Times New Roman" w:eastAsia="Times New Roman" w:hAnsi="Times New Roman"/>
              </w:rPr>
            </w:pPr>
            <w:r w:rsidRPr="00B72856">
              <w:rPr>
                <w:rFonts w:ascii="Times New Roman" w:hAnsi="Times New Roman"/>
                <w:color w:val="222222"/>
                <w:shd w:val="clear" w:color="auto" w:fill="FFFFFF"/>
              </w:rPr>
              <w:t>Mettler, S., 2002. Bringing the state back in to civic engagement: Policy feedback effects of the GI Bill for World War II veterans.</w:t>
            </w:r>
            <w:r w:rsidRPr="00B72856">
              <w:rPr>
                <w:rStyle w:val="apple-converted-space"/>
                <w:rFonts w:ascii="Times New Roman" w:hAnsi="Times New Roman"/>
                <w:color w:val="222222"/>
                <w:shd w:val="clear" w:color="auto" w:fill="FFFFFF"/>
              </w:rPr>
              <w:t> </w:t>
            </w:r>
            <w:r w:rsidRPr="00B72856">
              <w:rPr>
                <w:rFonts w:ascii="Times New Roman" w:hAnsi="Times New Roman"/>
                <w:i/>
                <w:iCs/>
                <w:color w:val="222222"/>
                <w:shd w:val="clear" w:color="auto" w:fill="FFFFFF"/>
              </w:rPr>
              <w:t>American Political Science Review</w:t>
            </w:r>
            <w:r w:rsidRPr="00B72856">
              <w:rPr>
                <w:rFonts w:ascii="Times New Roman" w:hAnsi="Times New Roman"/>
                <w:color w:val="222222"/>
                <w:shd w:val="clear" w:color="auto" w:fill="FFFFFF"/>
              </w:rPr>
              <w:t>,</w:t>
            </w:r>
            <w:r w:rsidRPr="00B72856">
              <w:rPr>
                <w:rStyle w:val="apple-converted-space"/>
                <w:rFonts w:ascii="Times New Roman" w:hAnsi="Times New Roman"/>
                <w:color w:val="222222"/>
                <w:shd w:val="clear" w:color="auto" w:fill="FFFFFF"/>
              </w:rPr>
              <w:t> </w:t>
            </w:r>
            <w:r w:rsidRPr="00B72856">
              <w:rPr>
                <w:rFonts w:ascii="Times New Roman" w:hAnsi="Times New Roman"/>
                <w:i/>
                <w:iCs/>
                <w:color w:val="222222"/>
                <w:shd w:val="clear" w:color="auto" w:fill="FFFFFF"/>
              </w:rPr>
              <w:t>96</w:t>
            </w:r>
            <w:r w:rsidRPr="00B72856">
              <w:rPr>
                <w:rFonts w:ascii="Times New Roman" w:hAnsi="Times New Roman"/>
                <w:color w:val="222222"/>
                <w:shd w:val="clear" w:color="auto" w:fill="FFFFFF"/>
              </w:rPr>
              <w:t>(02), pp.351-365.</w:t>
            </w:r>
          </w:p>
        </w:tc>
      </w:tr>
      <w:tr w:rsidR="00F4025D" w:rsidRPr="00E6561E" w14:paraId="43647A57" w14:textId="77777777" w:rsidTr="00C66DF7">
        <w:trPr>
          <w:trHeight w:val="20"/>
        </w:trPr>
        <w:tc>
          <w:tcPr>
            <w:tcW w:w="810" w:type="dxa"/>
            <w:shd w:val="clear" w:color="auto" w:fill="auto"/>
            <w:vAlign w:val="center"/>
          </w:tcPr>
          <w:p w14:paraId="51D554CB" w14:textId="77777777" w:rsidR="00F4025D" w:rsidRPr="00AF7CF1" w:rsidRDefault="00F4025D" w:rsidP="00F4025D">
            <w:pPr>
              <w:rPr>
                <w:rFonts w:cs="Times New Roman"/>
                <w:sz w:val="24"/>
                <w:szCs w:val="24"/>
              </w:rPr>
            </w:pPr>
            <w:r w:rsidRPr="00AF7CF1">
              <w:rPr>
                <w:rFonts w:cs="Times New Roman"/>
                <w:sz w:val="24"/>
                <w:szCs w:val="24"/>
              </w:rPr>
              <w:t>7</w:t>
            </w:r>
          </w:p>
        </w:tc>
        <w:tc>
          <w:tcPr>
            <w:tcW w:w="3690" w:type="dxa"/>
            <w:shd w:val="clear" w:color="auto" w:fill="auto"/>
          </w:tcPr>
          <w:p w14:paraId="765AAB37" w14:textId="728C20D1" w:rsidR="00F4025D" w:rsidRPr="00CB774B" w:rsidRDefault="00F4025D" w:rsidP="00F4025D">
            <w:pPr>
              <w:rPr>
                <w:rFonts w:cs="Times New Roman"/>
                <w:szCs w:val="22"/>
              </w:rPr>
            </w:pPr>
            <w:r>
              <w:rPr>
                <w:rFonts w:cs="Times New Roman"/>
                <w:szCs w:val="22"/>
              </w:rPr>
              <w:t>The Media</w:t>
            </w:r>
            <w:r w:rsidRPr="00CB774B">
              <w:rPr>
                <w:rFonts w:cs="Times New Roman"/>
                <w:szCs w:val="22"/>
              </w:rPr>
              <w:t xml:space="preserve"> (</w:t>
            </w:r>
            <w:r w:rsidR="00DA234C">
              <w:rPr>
                <w:rFonts w:cs="Times New Roman"/>
                <w:szCs w:val="22"/>
              </w:rPr>
              <w:t>2/28</w:t>
            </w:r>
            <w:r w:rsidRPr="00CB774B">
              <w:rPr>
                <w:rFonts w:cs="Times New Roman"/>
                <w:szCs w:val="22"/>
              </w:rPr>
              <w:t>)</w:t>
            </w:r>
          </w:p>
          <w:p w14:paraId="0F67511F" w14:textId="77777777" w:rsidR="00F4025D" w:rsidRPr="00CB774B" w:rsidRDefault="00F4025D" w:rsidP="00F4025D">
            <w:pPr>
              <w:rPr>
                <w:rFonts w:cs="Times New Roman"/>
                <w:szCs w:val="22"/>
              </w:rPr>
            </w:pPr>
          </w:p>
          <w:p w14:paraId="0022D414" w14:textId="664EE048" w:rsidR="00F4025D" w:rsidRPr="00AF7CF1" w:rsidRDefault="00F4025D" w:rsidP="00F4025D">
            <w:pPr>
              <w:rPr>
                <w:rFonts w:cs="Times New Roman"/>
                <w:sz w:val="24"/>
                <w:szCs w:val="24"/>
              </w:rPr>
            </w:pPr>
            <w:r>
              <w:rPr>
                <w:rFonts w:cs="Times New Roman"/>
                <w:szCs w:val="22"/>
              </w:rPr>
              <w:t>Federalism and Policy Diffusion</w:t>
            </w:r>
            <w:r w:rsidRPr="00CB774B">
              <w:rPr>
                <w:rFonts w:cs="Times New Roman"/>
                <w:szCs w:val="22"/>
              </w:rPr>
              <w:t xml:space="preserve"> (</w:t>
            </w:r>
            <w:r>
              <w:rPr>
                <w:rFonts w:cs="Times New Roman"/>
                <w:szCs w:val="22"/>
              </w:rPr>
              <w:t>3/</w:t>
            </w:r>
            <w:r w:rsidR="00A618C4">
              <w:rPr>
                <w:rFonts w:cs="Times New Roman"/>
                <w:szCs w:val="22"/>
              </w:rPr>
              <w:t>2</w:t>
            </w:r>
            <w:r w:rsidRPr="00CB774B">
              <w:rPr>
                <w:rFonts w:cs="Times New Roman"/>
                <w:szCs w:val="22"/>
              </w:rPr>
              <w:t>)</w:t>
            </w:r>
          </w:p>
        </w:tc>
        <w:tc>
          <w:tcPr>
            <w:tcW w:w="6025" w:type="dxa"/>
            <w:shd w:val="clear" w:color="auto" w:fill="auto"/>
          </w:tcPr>
          <w:p w14:paraId="0287EBFD" w14:textId="77777777" w:rsidR="00B72856" w:rsidRPr="00B72856" w:rsidRDefault="00B72856" w:rsidP="00F4025D">
            <w:pPr>
              <w:pStyle w:val="NoSpacing"/>
              <w:numPr>
                <w:ilvl w:val="0"/>
                <w:numId w:val="14"/>
              </w:numPr>
              <w:spacing w:before="0"/>
              <w:ind w:left="360"/>
              <w:rPr>
                <w:rFonts w:ascii="Times New Roman" w:hAnsi="Times New Roman" w:cs="Times New Roman"/>
                <w:sz w:val="28"/>
                <w:szCs w:val="24"/>
              </w:rPr>
            </w:pPr>
            <w:r w:rsidRPr="00B72856">
              <w:rPr>
                <w:rFonts w:ascii="Times New Roman" w:hAnsi="Times New Roman" w:cs="Times New Roman"/>
                <w:sz w:val="22"/>
                <w:szCs w:val="22"/>
              </w:rPr>
              <w:t xml:space="preserve">Sullivan, Margaret. 2021. “What Happens to Democracy When Local Journalism Dries Up?” The Washington Post. November 30, 2021. </w:t>
            </w:r>
          </w:p>
          <w:p w14:paraId="2EB5DB61" w14:textId="3D1FA84A" w:rsidR="00F4025D" w:rsidRPr="00F20EA8" w:rsidRDefault="00F4025D" w:rsidP="00F4025D">
            <w:pPr>
              <w:pStyle w:val="NoSpacing"/>
              <w:numPr>
                <w:ilvl w:val="0"/>
                <w:numId w:val="14"/>
              </w:numPr>
              <w:spacing w:before="0"/>
              <w:ind w:left="360"/>
              <w:rPr>
                <w:rFonts w:ascii="Times New Roman" w:hAnsi="Times New Roman" w:cs="Times New Roman"/>
                <w:sz w:val="24"/>
                <w:szCs w:val="22"/>
              </w:rPr>
            </w:pPr>
            <w:r w:rsidRPr="00F20EA8">
              <w:rPr>
                <w:rFonts w:ascii="Times New Roman" w:hAnsi="Times New Roman" w:cs="Times New Roman"/>
                <w:color w:val="222222"/>
                <w:sz w:val="22"/>
                <w:shd w:val="clear" w:color="auto" w:fill="FFFFFF"/>
              </w:rPr>
              <w:t>Prior, M., 2005. News vs. entertainment: How increasing media choice widens gaps in political knowledge and turnout. </w:t>
            </w:r>
            <w:r w:rsidRPr="00F20EA8">
              <w:rPr>
                <w:rFonts w:ascii="Times New Roman" w:hAnsi="Times New Roman" w:cs="Times New Roman"/>
                <w:i/>
                <w:iCs/>
                <w:color w:val="222222"/>
                <w:sz w:val="22"/>
                <w:shd w:val="clear" w:color="auto" w:fill="FFFFFF"/>
              </w:rPr>
              <w:t>American Journal of Political Science</w:t>
            </w:r>
            <w:r w:rsidRPr="00F20EA8">
              <w:rPr>
                <w:rFonts w:ascii="Times New Roman" w:hAnsi="Times New Roman" w:cs="Times New Roman"/>
                <w:color w:val="222222"/>
                <w:sz w:val="22"/>
                <w:shd w:val="clear" w:color="auto" w:fill="FFFFFF"/>
              </w:rPr>
              <w:t>, </w:t>
            </w:r>
            <w:r w:rsidRPr="00F20EA8">
              <w:rPr>
                <w:rFonts w:ascii="Times New Roman" w:hAnsi="Times New Roman" w:cs="Times New Roman"/>
                <w:i/>
                <w:iCs/>
                <w:color w:val="222222"/>
                <w:sz w:val="22"/>
                <w:shd w:val="clear" w:color="auto" w:fill="FFFFFF"/>
              </w:rPr>
              <w:t>49</w:t>
            </w:r>
            <w:r w:rsidRPr="00F20EA8">
              <w:rPr>
                <w:rFonts w:ascii="Times New Roman" w:hAnsi="Times New Roman" w:cs="Times New Roman"/>
                <w:color w:val="222222"/>
                <w:sz w:val="22"/>
                <w:shd w:val="clear" w:color="auto" w:fill="FFFFFF"/>
              </w:rPr>
              <w:t>(3), pp.577-592.</w:t>
            </w:r>
          </w:p>
          <w:p w14:paraId="11ADEFAF" w14:textId="77777777" w:rsidR="00F4025D" w:rsidRPr="00F20EA8" w:rsidRDefault="00F4025D" w:rsidP="00F4025D">
            <w:pPr>
              <w:pStyle w:val="NoSpacing"/>
              <w:spacing w:before="0"/>
              <w:ind w:left="360"/>
              <w:rPr>
                <w:rFonts w:ascii="Times New Roman" w:hAnsi="Times New Roman" w:cs="Times New Roman"/>
                <w:sz w:val="24"/>
                <w:szCs w:val="22"/>
              </w:rPr>
            </w:pPr>
          </w:p>
          <w:p w14:paraId="5557435F" w14:textId="2E19115C" w:rsidR="00601C7D" w:rsidRPr="000671D2" w:rsidRDefault="00601C7D" w:rsidP="00601C7D">
            <w:pPr>
              <w:pStyle w:val="ListParagraph"/>
              <w:numPr>
                <w:ilvl w:val="0"/>
                <w:numId w:val="14"/>
              </w:numPr>
              <w:spacing w:before="0"/>
              <w:ind w:left="360"/>
              <w:rPr>
                <w:rFonts w:asciiTheme="minorHAnsi" w:hAnsiTheme="minorHAnsi" w:cstheme="minorHAnsi"/>
                <w:szCs w:val="22"/>
              </w:rPr>
            </w:pPr>
            <w:r>
              <w:rPr>
                <w:rFonts w:cs="Times New Roman"/>
                <w:color w:val="222222"/>
                <w:shd w:val="clear" w:color="auto" w:fill="FFFFFF"/>
              </w:rPr>
              <w:t xml:space="preserve">Kettl, Donald. 2021. “How American-Style Federalism is Hazardous to Our Health. Governing.com. </w:t>
            </w:r>
            <w:r w:rsidR="000671D2">
              <w:rPr>
                <w:rFonts w:cs="Times New Roman"/>
                <w:color w:val="222222"/>
                <w:shd w:val="clear" w:color="auto" w:fill="FFFFFF"/>
              </w:rPr>
              <w:t xml:space="preserve">May 26, 2021. </w:t>
            </w:r>
            <w:hyperlink r:id="rId18" w:history="1">
              <w:r w:rsidR="000671D2" w:rsidRPr="008B1437">
                <w:rPr>
                  <w:rStyle w:val="Hyperlink"/>
                  <w:rFonts w:cs="Times New Roman"/>
                  <w:shd w:val="clear" w:color="auto" w:fill="FFFFFF"/>
                </w:rPr>
                <w:t>https://www.governing.com/now/how-american-style-federalism-is-dangerous-to-our-health</w:t>
              </w:r>
            </w:hyperlink>
          </w:p>
          <w:p w14:paraId="58D0BF13" w14:textId="38E21BF4" w:rsidR="00F4025D" w:rsidRPr="00801B42" w:rsidRDefault="00F4025D" w:rsidP="00F4025D">
            <w:pPr>
              <w:pStyle w:val="ListParagraph"/>
              <w:numPr>
                <w:ilvl w:val="0"/>
                <w:numId w:val="14"/>
              </w:numPr>
              <w:spacing w:before="0"/>
              <w:ind w:left="360"/>
              <w:rPr>
                <w:rFonts w:asciiTheme="minorHAnsi" w:hAnsiTheme="minorHAnsi" w:cstheme="minorHAnsi"/>
                <w:szCs w:val="22"/>
              </w:rPr>
            </w:pPr>
            <w:r w:rsidRPr="00F20EA8">
              <w:rPr>
                <w:rFonts w:cs="Times New Roman"/>
                <w:color w:val="222222"/>
                <w:shd w:val="clear" w:color="auto" w:fill="FFFFFF"/>
              </w:rPr>
              <w:t xml:space="preserve">Karch, A., 2006. National intervention and the diffusion of policy innovations. </w:t>
            </w:r>
            <w:r w:rsidRPr="00F20EA8">
              <w:rPr>
                <w:rFonts w:cs="Times New Roman"/>
                <w:i/>
                <w:iCs/>
                <w:color w:val="222222"/>
                <w:shd w:val="clear" w:color="auto" w:fill="FFFFFF"/>
              </w:rPr>
              <w:t>American Politics Research</w:t>
            </w:r>
            <w:r w:rsidRPr="00F20EA8">
              <w:rPr>
                <w:rFonts w:cs="Times New Roman"/>
                <w:color w:val="222222"/>
                <w:shd w:val="clear" w:color="auto" w:fill="FFFFFF"/>
              </w:rPr>
              <w:t>,</w:t>
            </w:r>
            <w:r w:rsidRPr="00F20EA8">
              <w:rPr>
                <w:rStyle w:val="apple-converted-space"/>
                <w:rFonts w:cs="Times New Roman"/>
                <w:color w:val="222222"/>
                <w:shd w:val="clear" w:color="auto" w:fill="FFFFFF"/>
              </w:rPr>
              <w:t> </w:t>
            </w:r>
            <w:r w:rsidRPr="00F20EA8">
              <w:rPr>
                <w:rFonts w:cs="Times New Roman"/>
                <w:i/>
                <w:iCs/>
                <w:color w:val="222222"/>
                <w:shd w:val="clear" w:color="auto" w:fill="FFFFFF"/>
              </w:rPr>
              <w:t>34</w:t>
            </w:r>
            <w:r w:rsidRPr="00F20EA8">
              <w:rPr>
                <w:rFonts w:cs="Times New Roman"/>
                <w:color w:val="222222"/>
                <w:shd w:val="clear" w:color="auto" w:fill="FFFFFF"/>
              </w:rPr>
              <w:t>(4), pp.403-426.</w:t>
            </w:r>
          </w:p>
          <w:p w14:paraId="532EBF0F" w14:textId="69D282F4" w:rsidR="00F4025D" w:rsidRPr="000671D2" w:rsidRDefault="000671D2" w:rsidP="00F4025D">
            <w:pPr>
              <w:pStyle w:val="ColorfulList-Accent12"/>
              <w:numPr>
                <w:ilvl w:val="0"/>
                <w:numId w:val="14"/>
              </w:numPr>
              <w:ind w:left="360"/>
              <w:rPr>
                <w:rFonts w:ascii="Times New Roman" w:eastAsia="Times New Roman" w:hAnsi="Times New Roman"/>
              </w:rPr>
            </w:pPr>
            <w:r w:rsidRPr="000671D2">
              <w:rPr>
                <w:rFonts w:ascii="Times New Roman" w:hAnsi="Times New Roman"/>
                <w:color w:val="222222"/>
                <w:shd w:val="clear" w:color="auto" w:fill="FFFFFF"/>
              </w:rPr>
              <w:t>Jones, D.K., 2017. Lavatories of democracy? Health reform and federalism in the Trump era. </w:t>
            </w:r>
            <w:r w:rsidRPr="000671D2">
              <w:rPr>
                <w:rFonts w:ascii="Times New Roman" w:hAnsi="Times New Roman"/>
                <w:i/>
                <w:iCs/>
                <w:color w:val="222222"/>
                <w:shd w:val="clear" w:color="auto" w:fill="FFFFFF"/>
              </w:rPr>
              <w:t>The Milbank Quarterly</w:t>
            </w:r>
            <w:r w:rsidRPr="000671D2">
              <w:rPr>
                <w:rFonts w:ascii="Times New Roman" w:hAnsi="Times New Roman"/>
                <w:color w:val="222222"/>
                <w:shd w:val="clear" w:color="auto" w:fill="FFFFFF"/>
              </w:rPr>
              <w:t>, </w:t>
            </w:r>
            <w:r w:rsidRPr="000671D2">
              <w:rPr>
                <w:rFonts w:ascii="Times New Roman" w:hAnsi="Times New Roman"/>
                <w:i/>
                <w:iCs/>
                <w:color w:val="222222"/>
                <w:shd w:val="clear" w:color="auto" w:fill="FFFFFF"/>
              </w:rPr>
              <w:t>95</w:t>
            </w:r>
            <w:r w:rsidRPr="000671D2">
              <w:rPr>
                <w:rFonts w:ascii="Times New Roman" w:hAnsi="Times New Roman"/>
                <w:color w:val="222222"/>
                <w:shd w:val="clear" w:color="auto" w:fill="FFFFFF"/>
              </w:rPr>
              <w:t>(3), p.470.</w:t>
            </w:r>
            <w:r>
              <w:rPr>
                <w:rFonts w:ascii="Times New Roman" w:hAnsi="Times New Roman"/>
                <w:color w:val="222222"/>
                <w:shd w:val="clear" w:color="auto" w:fill="FFFFFF"/>
              </w:rPr>
              <w:t xml:space="preserve"> </w:t>
            </w:r>
            <w:r w:rsidRPr="000671D2">
              <w:rPr>
                <w:rFonts w:ascii="Times New Roman" w:hAnsi="Times New Roman"/>
                <w:b/>
                <w:bCs/>
                <w:color w:val="222222"/>
                <w:shd w:val="clear" w:color="auto" w:fill="FFFFFF"/>
              </w:rPr>
              <w:t>For the Interested Reader Only</w:t>
            </w:r>
          </w:p>
        </w:tc>
      </w:tr>
      <w:tr w:rsidR="00E87CF1" w:rsidRPr="00E6561E" w14:paraId="7E85DFFC" w14:textId="77777777" w:rsidTr="00357DBF">
        <w:trPr>
          <w:trHeight w:val="20"/>
        </w:trPr>
        <w:tc>
          <w:tcPr>
            <w:tcW w:w="810" w:type="dxa"/>
            <w:shd w:val="clear" w:color="auto" w:fill="auto"/>
            <w:vAlign w:val="center"/>
          </w:tcPr>
          <w:p w14:paraId="00B6464F" w14:textId="77777777" w:rsidR="00E87CF1" w:rsidRPr="009754E6" w:rsidRDefault="00E87CF1" w:rsidP="00E87CF1">
            <w:pPr>
              <w:rPr>
                <w:rFonts w:cs="Times New Roman"/>
                <w:szCs w:val="22"/>
              </w:rPr>
            </w:pPr>
            <w:r w:rsidRPr="009754E6">
              <w:rPr>
                <w:rFonts w:cs="Times New Roman"/>
                <w:szCs w:val="22"/>
              </w:rPr>
              <w:t>8</w:t>
            </w:r>
          </w:p>
        </w:tc>
        <w:tc>
          <w:tcPr>
            <w:tcW w:w="3690" w:type="dxa"/>
            <w:shd w:val="clear" w:color="auto" w:fill="auto"/>
          </w:tcPr>
          <w:p w14:paraId="60F4B279" w14:textId="0FA40EFA" w:rsidR="00E87CF1" w:rsidRPr="00CB774B" w:rsidRDefault="00526D43" w:rsidP="00E87CF1">
            <w:pPr>
              <w:rPr>
                <w:rFonts w:cs="Times New Roman"/>
                <w:szCs w:val="22"/>
              </w:rPr>
            </w:pPr>
            <w:proofErr w:type="gramStart"/>
            <w:r>
              <w:rPr>
                <w:rFonts w:cs="Times New Roman"/>
                <w:szCs w:val="22"/>
              </w:rPr>
              <w:t>TBD;</w:t>
            </w:r>
            <w:proofErr w:type="gramEnd"/>
            <w:r>
              <w:rPr>
                <w:rFonts w:cs="Times New Roman"/>
                <w:szCs w:val="22"/>
              </w:rPr>
              <w:t xml:space="preserve"> Dr. Callaghan Scheduled for Jury Duty. If Called In, No Class. If </w:t>
            </w:r>
            <w:r>
              <w:rPr>
                <w:rFonts w:cs="Times New Roman"/>
                <w:szCs w:val="22"/>
              </w:rPr>
              <w:lastRenderedPageBreak/>
              <w:t xml:space="preserve">Not Called In, </w:t>
            </w:r>
            <w:r w:rsidR="00E87CF1">
              <w:rPr>
                <w:rFonts w:cs="Times New Roman"/>
                <w:szCs w:val="22"/>
              </w:rPr>
              <w:t>Midterm Exam Review</w:t>
            </w:r>
            <w:r w:rsidR="00E87CF1" w:rsidRPr="00CB774B">
              <w:rPr>
                <w:rFonts w:cs="Times New Roman"/>
                <w:szCs w:val="22"/>
              </w:rPr>
              <w:t xml:space="preserve"> (</w:t>
            </w:r>
            <w:r w:rsidR="00E87CF1">
              <w:rPr>
                <w:rFonts w:cs="Times New Roman"/>
                <w:szCs w:val="22"/>
              </w:rPr>
              <w:t>3/</w:t>
            </w:r>
            <w:r w:rsidR="00A618C4">
              <w:rPr>
                <w:rFonts w:cs="Times New Roman"/>
                <w:szCs w:val="22"/>
              </w:rPr>
              <w:t>7</w:t>
            </w:r>
            <w:r w:rsidR="00E87CF1" w:rsidRPr="00CB774B">
              <w:rPr>
                <w:rFonts w:cs="Times New Roman"/>
                <w:szCs w:val="22"/>
              </w:rPr>
              <w:t>)</w:t>
            </w:r>
          </w:p>
          <w:p w14:paraId="266FBF93" w14:textId="77777777" w:rsidR="00E87CF1" w:rsidRPr="00CB774B" w:rsidRDefault="00E87CF1" w:rsidP="00E87CF1">
            <w:pPr>
              <w:rPr>
                <w:rFonts w:cs="Times New Roman"/>
                <w:szCs w:val="22"/>
              </w:rPr>
            </w:pPr>
          </w:p>
          <w:p w14:paraId="6BB3EAFC" w14:textId="02844BAD" w:rsidR="00E87CF1" w:rsidRPr="00934689" w:rsidRDefault="00E87CF1" w:rsidP="00E87CF1">
            <w:pPr>
              <w:rPr>
                <w:rFonts w:cs="Times New Roman"/>
                <w:sz w:val="24"/>
                <w:szCs w:val="24"/>
              </w:rPr>
            </w:pPr>
            <w:r>
              <w:rPr>
                <w:rFonts w:cs="Times New Roman"/>
                <w:b/>
                <w:szCs w:val="22"/>
              </w:rPr>
              <w:t>Midterm Exam</w:t>
            </w:r>
            <w:r w:rsidRPr="00CB774B">
              <w:rPr>
                <w:rFonts w:cs="Times New Roman"/>
                <w:b/>
                <w:szCs w:val="22"/>
              </w:rPr>
              <w:t xml:space="preserve"> (</w:t>
            </w:r>
            <w:r>
              <w:rPr>
                <w:rFonts w:cs="Times New Roman"/>
                <w:b/>
                <w:szCs w:val="22"/>
              </w:rPr>
              <w:t>3/</w:t>
            </w:r>
            <w:r w:rsidR="00A618C4">
              <w:rPr>
                <w:rFonts w:cs="Times New Roman"/>
                <w:b/>
                <w:szCs w:val="22"/>
              </w:rPr>
              <w:t>9</w:t>
            </w:r>
            <w:r w:rsidRPr="00CB774B">
              <w:rPr>
                <w:rFonts w:cs="Times New Roman"/>
                <w:b/>
                <w:szCs w:val="22"/>
              </w:rPr>
              <w:t>)</w:t>
            </w:r>
          </w:p>
        </w:tc>
        <w:tc>
          <w:tcPr>
            <w:tcW w:w="6025" w:type="dxa"/>
            <w:shd w:val="clear" w:color="auto" w:fill="auto"/>
          </w:tcPr>
          <w:p w14:paraId="704ABEC8" w14:textId="2240E343" w:rsidR="00E87CF1" w:rsidRPr="002244C1" w:rsidRDefault="00E87CF1" w:rsidP="00E87CF1">
            <w:pPr>
              <w:rPr>
                <w:rFonts w:cs="Times New Roman"/>
                <w:sz w:val="24"/>
                <w:szCs w:val="24"/>
              </w:rPr>
            </w:pPr>
          </w:p>
        </w:tc>
      </w:tr>
      <w:tr w:rsidR="00AF7CF1" w:rsidRPr="00E6561E" w14:paraId="057EE240" w14:textId="77777777" w:rsidTr="00E31843">
        <w:trPr>
          <w:trHeight w:val="20"/>
        </w:trPr>
        <w:tc>
          <w:tcPr>
            <w:tcW w:w="810" w:type="dxa"/>
            <w:shd w:val="clear" w:color="auto" w:fill="auto"/>
            <w:vAlign w:val="center"/>
          </w:tcPr>
          <w:p w14:paraId="70EEC4F3" w14:textId="77777777" w:rsidR="00AF7CF1" w:rsidRPr="00934689" w:rsidRDefault="00AF7CF1" w:rsidP="00AF7CF1">
            <w:pPr>
              <w:rPr>
                <w:rFonts w:cs="Times New Roman"/>
                <w:sz w:val="24"/>
                <w:szCs w:val="22"/>
              </w:rPr>
            </w:pPr>
            <w:r w:rsidRPr="00934689">
              <w:rPr>
                <w:rFonts w:cs="Times New Roman"/>
                <w:sz w:val="24"/>
                <w:szCs w:val="22"/>
              </w:rPr>
              <w:t>9</w:t>
            </w:r>
          </w:p>
        </w:tc>
        <w:tc>
          <w:tcPr>
            <w:tcW w:w="3690" w:type="dxa"/>
            <w:shd w:val="clear" w:color="auto" w:fill="auto"/>
            <w:vAlign w:val="center"/>
          </w:tcPr>
          <w:p w14:paraId="1306889B" w14:textId="1BE14BB8" w:rsidR="00AF7CF1" w:rsidRPr="00934689" w:rsidRDefault="00E87CF1" w:rsidP="00AF7CF1">
            <w:pPr>
              <w:rPr>
                <w:rFonts w:cs="Times New Roman"/>
                <w:sz w:val="24"/>
                <w:szCs w:val="22"/>
              </w:rPr>
            </w:pPr>
            <w:r>
              <w:rPr>
                <w:rFonts w:cs="Times New Roman"/>
                <w:sz w:val="24"/>
                <w:szCs w:val="22"/>
              </w:rPr>
              <w:t>Spring Break</w:t>
            </w:r>
          </w:p>
        </w:tc>
        <w:tc>
          <w:tcPr>
            <w:tcW w:w="6025" w:type="dxa"/>
            <w:shd w:val="clear" w:color="auto" w:fill="auto"/>
            <w:vAlign w:val="center"/>
          </w:tcPr>
          <w:p w14:paraId="7CB34C31" w14:textId="28946EED" w:rsidR="0089589D" w:rsidRPr="002244C1" w:rsidRDefault="0089589D" w:rsidP="00E21FD1">
            <w:pPr>
              <w:rPr>
                <w:rFonts w:cs="Times New Roman"/>
                <w:sz w:val="24"/>
                <w:szCs w:val="22"/>
              </w:rPr>
            </w:pPr>
          </w:p>
        </w:tc>
      </w:tr>
      <w:tr w:rsidR="00131775" w:rsidRPr="00E6561E" w14:paraId="2D7CE836" w14:textId="77777777" w:rsidTr="00B20274">
        <w:trPr>
          <w:trHeight w:val="20"/>
        </w:trPr>
        <w:tc>
          <w:tcPr>
            <w:tcW w:w="810" w:type="dxa"/>
            <w:shd w:val="clear" w:color="auto" w:fill="auto"/>
            <w:vAlign w:val="center"/>
          </w:tcPr>
          <w:p w14:paraId="6FBA5AD5" w14:textId="77777777" w:rsidR="00131775" w:rsidRPr="00934689" w:rsidRDefault="00131775" w:rsidP="00131775">
            <w:pPr>
              <w:rPr>
                <w:rFonts w:cs="Times New Roman"/>
                <w:sz w:val="24"/>
                <w:szCs w:val="22"/>
              </w:rPr>
            </w:pPr>
            <w:r w:rsidRPr="00934689">
              <w:rPr>
                <w:rFonts w:cs="Times New Roman"/>
                <w:sz w:val="24"/>
                <w:szCs w:val="22"/>
              </w:rPr>
              <w:t>10</w:t>
            </w:r>
          </w:p>
        </w:tc>
        <w:tc>
          <w:tcPr>
            <w:tcW w:w="3690" w:type="dxa"/>
            <w:shd w:val="clear" w:color="auto" w:fill="auto"/>
          </w:tcPr>
          <w:p w14:paraId="5CCDA735" w14:textId="31E94AB2" w:rsidR="00131775" w:rsidRPr="00CB774B" w:rsidRDefault="005F7BAD" w:rsidP="00131775">
            <w:pPr>
              <w:rPr>
                <w:rFonts w:cs="Times New Roman"/>
                <w:szCs w:val="22"/>
              </w:rPr>
            </w:pPr>
            <w:r>
              <w:rPr>
                <w:rFonts w:cs="Times New Roman"/>
                <w:szCs w:val="22"/>
              </w:rPr>
              <w:t>Race, Inequality, and Health Politics</w:t>
            </w:r>
            <w:r w:rsidR="00131775" w:rsidRPr="00CB774B">
              <w:rPr>
                <w:rFonts w:cs="Times New Roman"/>
                <w:szCs w:val="22"/>
              </w:rPr>
              <w:t xml:space="preserve"> (</w:t>
            </w:r>
            <w:r w:rsidR="00131775">
              <w:rPr>
                <w:rFonts w:cs="Times New Roman"/>
                <w:szCs w:val="22"/>
              </w:rPr>
              <w:t>3/</w:t>
            </w:r>
            <w:r w:rsidR="0043600D">
              <w:rPr>
                <w:rFonts w:cs="Times New Roman"/>
                <w:szCs w:val="22"/>
              </w:rPr>
              <w:t>21</w:t>
            </w:r>
            <w:r w:rsidR="00131775" w:rsidRPr="00CB774B">
              <w:rPr>
                <w:rFonts w:cs="Times New Roman"/>
                <w:szCs w:val="22"/>
              </w:rPr>
              <w:t>)</w:t>
            </w:r>
          </w:p>
          <w:p w14:paraId="58947A4A" w14:textId="77777777" w:rsidR="00131775" w:rsidRPr="00CB774B" w:rsidRDefault="00131775" w:rsidP="00131775">
            <w:pPr>
              <w:rPr>
                <w:rFonts w:cs="Times New Roman"/>
                <w:szCs w:val="22"/>
              </w:rPr>
            </w:pPr>
          </w:p>
          <w:p w14:paraId="5B3B9650" w14:textId="4EA87751" w:rsidR="00131775" w:rsidRPr="004D6438" w:rsidRDefault="00E8631F" w:rsidP="00131775">
            <w:pPr>
              <w:rPr>
                <w:rFonts w:cs="Times New Roman"/>
              </w:rPr>
            </w:pPr>
            <w:r>
              <w:rPr>
                <w:rFonts w:cs="Times New Roman"/>
                <w:szCs w:val="22"/>
              </w:rPr>
              <w:t xml:space="preserve">Policy Advocacy in Texas and Beyond; Guest Speaker Jason Sabo </w:t>
            </w:r>
            <w:r w:rsidR="00131775" w:rsidRPr="00CB774B">
              <w:rPr>
                <w:rFonts w:cs="Times New Roman"/>
                <w:szCs w:val="22"/>
              </w:rPr>
              <w:t>(</w:t>
            </w:r>
            <w:r w:rsidR="00131775">
              <w:rPr>
                <w:rFonts w:cs="Times New Roman"/>
                <w:szCs w:val="22"/>
              </w:rPr>
              <w:t>3/</w:t>
            </w:r>
            <w:r w:rsidR="0043600D">
              <w:rPr>
                <w:rFonts w:cs="Times New Roman"/>
                <w:szCs w:val="22"/>
              </w:rPr>
              <w:t>23</w:t>
            </w:r>
            <w:r w:rsidR="00131775" w:rsidRPr="00CB774B">
              <w:rPr>
                <w:rFonts w:cs="Times New Roman"/>
                <w:szCs w:val="22"/>
              </w:rPr>
              <w:t>)</w:t>
            </w:r>
          </w:p>
        </w:tc>
        <w:tc>
          <w:tcPr>
            <w:tcW w:w="6025" w:type="dxa"/>
            <w:shd w:val="clear" w:color="auto" w:fill="auto"/>
          </w:tcPr>
          <w:p w14:paraId="18025B7F" w14:textId="015D3A80" w:rsidR="00131775" w:rsidRPr="00E8631F" w:rsidRDefault="00FA76C0" w:rsidP="00E8631F">
            <w:pPr>
              <w:pStyle w:val="ListParagraph"/>
              <w:numPr>
                <w:ilvl w:val="0"/>
                <w:numId w:val="14"/>
              </w:numPr>
              <w:spacing w:before="0"/>
              <w:ind w:left="360"/>
              <w:rPr>
                <w:rFonts w:cs="Times New Roman"/>
                <w:szCs w:val="22"/>
              </w:rPr>
            </w:pPr>
            <w:r>
              <w:rPr>
                <w:rFonts w:cs="Times New Roman"/>
                <w:color w:val="222222"/>
                <w:szCs w:val="22"/>
                <w:shd w:val="clear" w:color="auto" w:fill="FFFFFF"/>
              </w:rPr>
              <w:t xml:space="preserve">Michener, J., 2018. Fragmented Democracy: Medicaid, Federalism, and Unequal Politics. Cambridge University Press. </w:t>
            </w:r>
            <w:proofErr w:type="spellStart"/>
            <w:r>
              <w:rPr>
                <w:rFonts w:cs="Times New Roman"/>
                <w:color w:val="222222"/>
                <w:szCs w:val="22"/>
                <w:shd w:val="clear" w:color="auto" w:fill="FFFFFF"/>
              </w:rPr>
              <w:t>Chs</w:t>
            </w:r>
            <w:proofErr w:type="spellEnd"/>
            <w:r>
              <w:rPr>
                <w:rFonts w:cs="Times New Roman"/>
                <w:color w:val="222222"/>
                <w:szCs w:val="22"/>
                <w:shd w:val="clear" w:color="auto" w:fill="FFFFFF"/>
              </w:rPr>
              <w:t>. 1; 3-4</w:t>
            </w:r>
          </w:p>
        </w:tc>
      </w:tr>
      <w:tr w:rsidR="009E23CB" w:rsidRPr="00E6561E" w14:paraId="0D0732A1" w14:textId="77777777" w:rsidTr="000911EA">
        <w:trPr>
          <w:trHeight w:val="20"/>
        </w:trPr>
        <w:tc>
          <w:tcPr>
            <w:tcW w:w="810" w:type="dxa"/>
            <w:shd w:val="clear" w:color="auto" w:fill="auto"/>
            <w:vAlign w:val="center"/>
          </w:tcPr>
          <w:p w14:paraId="2BE527A0" w14:textId="77777777" w:rsidR="009E23CB" w:rsidRPr="00934689" w:rsidRDefault="009E23CB" w:rsidP="009E23CB">
            <w:pPr>
              <w:rPr>
                <w:rFonts w:cs="Times New Roman"/>
                <w:sz w:val="24"/>
                <w:szCs w:val="22"/>
              </w:rPr>
            </w:pPr>
            <w:r w:rsidRPr="00934689">
              <w:rPr>
                <w:rFonts w:cs="Times New Roman"/>
                <w:sz w:val="24"/>
                <w:szCs w:val="22"/>
              </w:rPr>
              <w:t>11</w:t>
            </w:r>
          </w:p>
        </w:tc>
        <w:tc>
          <w:tcPr>
            <w:tcW w:w="3690" w:type="dxa"/>
            <w:shd w:val="clear" w:color="auto" w:fill="auto"/>
          </w:tcPr>
          <w:p w14:paraId="573BC23E" w14:textId="6B400315" w:rsidR="009E23CB" w:rsidRDefault="009E23CB" w:rsidP="009E23CB">
            <w:pPr>
              <w:rPr>
                <w:rFonts w:cs="Times New Roman"/>
                <w:szCs w:val="22"/>
              </w:rPr>
            </w:pPr>
            <w:r>
              <w:rPr>
                <w:rFonts w:cs="Times New Roman"/>
                <w:szCs w:val="22"/>
              </w:rPr>
              <w:t>Medicare</w:t>
            </w:r>
            <w:r w:rsidRPr="00CB774B">
              <w:rPr>
                <w:rFonts w:cs="Times New Roman"/>
                <w:szCs w:val="22"/>
              </w:rPr>
              <w:t xml:space="preserve"> (</w:t>
            </w:r>
            <w:r>
              <w:rPr>
                <w:rFonts w:cs="Times New Roman"/>
                <w:szCs w:val="22"/>
              </w:rPr>
              <w:t>3/2</w:t>
            </w:r>
            <w:r w:rsidR="00FA76C0">
              <w:rPr>
                <w:rFonts w:cs="Times New Roman"/>
                <w:szCs w:val="22"/>
              </w:rPr>
              <w:t>8</w:t>
            </w:r>
            <w:r w:rsidRPr="00CB774B">
              <w:rPr>
                <w:rFonts w:cs="Times New Roman"/>
                <w:szCs w:val="22"/>
              </w:rPr>
              <w:t>)</w:t>
            </w:r>
          </w:p>
          <w:p w14:paraId="346C9269" w14:textId="77777777" w:rsidR="005F7BAD" w:rsidRPr="00CB774B" w:rsidRDefault="005F7BAD" w:rsidP="009E23CB">
            <w:pPr>
              <w:rPr>
                <w:rFonts w:cs="Times New Roman"/>
                <w:szCs w:val="22"/>
              </w:rPr>
            </w:pPr>
          </w:p>
          <w:p w14:paraId="2BD11A8E" w14:textId="0A1860C2" w:rsidR="005F7BAD" w:rsidRPr="00CB774B" w:rsidRDefault="005F7BAD" w:rsidP="005F7BAD">
            <w:pPr>
              <w:rPr>
                <w:rFonts w:cs="Times New Roman"/>
                <w:szCs w:val="22"/>
              </w:rPr>
            </w:pPr>
            <w:r>
              <w:rPr>
                <w:rFonts w:cs="Times New Roman"/>
                <w:szCs w:val="22"/>
              </w:rPr>
              <w:t>Medicaid and Other Health Policy Programs for Vulnerable Groups</w:t>
            </w:r>
            <w:r w:rsidRPr="00CB774B">
              <w:rPr>
                <w:rFonts w:cs="Times New Roman"/>
                <w:szCs w:val="22"/>
              </w:rPr>
              <w:t xml:space="preserve"> (</w:t>
            </w:r>
            <w:r w:rsidR="00FA76C0">
              <w:rPr>
                <w:rFonts w:cs="Times New Roman"/>
                <w:szCs w:val="22"/>
              </w:rPr>
              <w:t>3/30</w:t>
            </w:r>
            <w:r w:rsidRPr="00CB774B">
              <w:rPr>
                <w:rFonts w:cs="Times New Roman"/>
                <w:szCs w:val="22"/>
              </w:rPr>
              <w:t>)</w:t>
            </w:r>
          </w:p>
          <w:p w14:paraId="2A97B943" w14:textId="77777777" w:rsidR="009E23CB" w:rsidRPr="00CB774B" w:rsidRDefault="009E23CB" w:rsidP="009E23CB">
            <w:pPr>
              <w:rPr>
                <w:rFonts w:cs="Times New Roman"/>
                <w:szCs w:val="22"/>
              </w:rPr>
            </w:pPr>
          </w:p>
          <w:p w14:paraId="112DEDF5" w14:textId="1433CE90" w:rsidR="009E23CB" w:rsidRPr="00926843" w:rsidRDefault="009E23CB" w:rsidP="009E23CB">
            <w:pPr>
              <w:rPr>
                <w:rFonts w:cs="Times New Roman"/>
              </w:rPr>
            </w:pPr>
          </w:p>
        </w:tc>
        <w:tc>
          <w:tcPr>
            <w:tcW w:w="6025" w:type="dxa"/>
            <w:shd w:val="clear" w:color="auto" w:fill="auto"/>
          </w:tcPr>
          <w:p w14:paraId="0782964F" w14:textId="71806339" w:rsidR="009E23CB" w:rsidRPr="005F7BAD" w:rsidRDefault="009E23CB" w:rsidP="009E23CB">
            <w:pPr>
              <w:pStyle w:val="ListParagraph"/>
              <w:numPr>
                <w:ilvl w:val="0"/>
                <w:numId w:val="14"/>
              </w:numPr>
              <w:spacing w:before="0"/>
              <w:ind w:left="360"/>
              <w:rPr>
                <w:rFonts w:eastAsia="Times New Roman" w:cs="Times New Roman"/>
                <w:szCs w:val="22"/>
              </w:rPr>
            </w:pPr>
            <w:r w:rsidRPr="00B179C8">
              <w:rPr>
                <w:rFonts w:cs="Times New Roman"/>
                <w:color w:val="222222"/>
                <w:szCs w:val="22"/>
                <w:shd w:val="clear" w:color="auto" w:fill="FFFFFF"/>
              </w:rPr>
              <w:t>Oberlander, J., 2003. </w:t>
            </w:r>
            <w:r w:rsidRPr="00B179C8">
              <w:rPr>
                <w:rFonts w:cs="Times New Roman"/>
                <w:i/>
                <w:iCs/>
                <w:color w:val="222222"/>
                <w:szCs w:val="22"/>
                <w:shd w:val="clear" w:color="auto" w:fill="FFFFFF"/>
              </w:rPr>
              <w:t>The political life of Medicare</w:t>
            </w:r>
            <w:r w:rsidRPr="00B179C8">
              <w:rPr>
                <w:rFonts w:cs="Times New Roman"/>
                <w:color w:val="222222"/>
                <w:szCs w:val="22"/>
                <w:shd w:val="clear" w:color="auto" w:fill="FFFFFF"/>
              </w:rPr>
              <w:t>. University of Chicago Press. Pgs. 1-42</w:t>
            </w:r>
          </w:p>
          <w:p w14:paraId="656B6B47" w14:textId="77777777" w:rsidR="005F7BAD" w:rsidRPr="005F7BAD" w:rsidRDefault="005F7BAD" w:rsidP="005F7BAD">
            <w:pPr>
              <w:pStyle w:val="ListParagraph"/>
              <w:spacing w:before="0"/>
              <w:ind w:left="360"/>
              <w:rPr>
                <w:rFonts w:eastAsia="Times New Roman" w:cs="Times New Roman"/>
                <w:szCs w:val="22"/>
              </w:rPr>
            </w:pPr>
          </w:p>
          <w:p w14:paraId="37CD0DA5" w14:textId="77777777" w:rsidR="005F7BAD" w:rsidRPr="00B179C8" w:rsidRDefault="005F7BAD" w:rsidP="005F7BAD">
            <w:pPr>
              <w:pStyle w:val="ListParagraph"/>
              <w:numPr>
                <w:ilvl w:val="0"/>
                <w:numId w:val="14"/>
              </w:numPr>
              <w:spacing w:before="0"/>
              <w:ind w:left="360"/>
              <w:rPr>
                <w:rFonts w:cs="Times New Roman"/>
                <w:color w:val="222222"/>
                <w:szCs w:val="22"/>
                <w:shd w:val="clear" w:color="auto" w:fill="FFFFFF"/>
              </w:rPr>
            </w:pPr>
            <w:r w:rsidRPr="00B179C8">
              <w:rPr>
                <w:rFonts w:cs="Times New Roman"/>
                <w:color w:val="222222"/>
                <w:szCs w:val="22"/>
                <w:shd w:val="clear" w:color="auto" w:fill="FFFFFF"/>
              </w:rPr>
              <w:t>Brown, L.D. and Sparer, M.S., 2003. Poor program’s progress: The unanticipated politics of Medicaid policy. </w:t>
            </w:r>
            <w:r w:rsidRPr="00B179C8">
              <w:rPr>
                <w:rFonts w:cs="Times New Roman"/>
                <w:i/>
                <w:iCs/>
                <w:color w:val="222222"/>
                <w:szCs w:val="22"/>
                <w:shd w:val="clear" w:color="auto" w:fill="FFFFFF"/>
              </w:rPr>
              <w:t>Health Affairs</w:t>
            </w:r>
            <w:r w:rsidRPr="00B179C8">
              <w:rPr>
                <w:rFonts w:cs="Times New Roman"/>
                <w:color w:val="222222"/>
                <w:szCs w:val="22"/>
                <w:shd w:val="clear" w:color="auto" w:fill="FFFFFF"/>
              </w:rPr>
              <w:t>, </w:t>
            </w:r>
            <w:r w:rsidRPr="00B179C8">
              <w:rPr>
                <w:rFonts w:cs="Times New Roman"/>
                <w:i/>
                <w:iCs/>
                <w:color w:val="222222"/>
                <w:szCs w:val="22"/>
                <w:shd w:val="clear" w:color="auto" w:fill="FFFFFF"/>
              </w:rPr>
              <w:t>22</w:t>
            </w:r>
            <w:r w:rsidRPr="00B179C8">
              <w:rPr>
                <w:rFonts w:cs="Times New Roman"/>
                <w:color w:val="222222"/>
                <w:szCs w:val="22"/>
                <w:shd w:val="clear" w:color="auto" w:fill="FFFFFF"/>
              </w:rPr>
              <w:t>(1), pp.31-44.</w:t>
            </w:r>
          </w:p>
          <w:p w14:paraId="2A0E98C3" w14:textId="547C570D" w:rsidR="005F7BAD" w:rsidRPr="005F7BAD" w:rsidRDefault="005F7BAD" w:rsidP="005F7BAD">
            <w:pPr>
              <w:pStyle w:val="ListParagraph"/>
              <w:numPr>
                <w:ilvl w:val="0"/>
                <w:numId w:val="14"/>
              </w:numPr>
              <w:spacing w:before="0"/>
              <w:ind w:left="360"/>
              <w:rPr>
                <w:rFonts w:eastAsia="Times New Roman" w:cs="Times New Roman"/>
                <w:szCs w:val="22"/>
              </w:rPr>
            </w:pPr>
            <w:r w:rsidRPr="00B179C8">
              <w:rPr>
                <w:color w:val="222222"/>
                <w:shd w:val="clear" w:color="auto" w:fill="FFFFFF"/>
              </w:rPr>
              <w:t>Jacobs, L.R. and Callaghan, T., 2013. Why states expand Medicaid: Party, resources, and history. </w:t>
            </w:r>
            <w:r w:rsidRPr="00B179C8">
              <w:rPr>
                <w:i/>
                <w:iCs/>
                <w:color w:val="222222"/>
                <w:shd w:val="clear" w:color="auto" w:fill="FFFFFF"/>
              </w:rPr>
              <w:t>Journal of Health Politics, Policy and Law</w:t>
            </w:r>
            <w:r w:rsidRPr="00B179C8">
              <w:rPr>
                <w:color w:val="222222"/>
                <w:shd w:val="clear" w:color="auto" w:fill="FFFFFF"/>
              </w:rPr>
              <w:t>, </w:t>
            </w:r>
            <w:r w:rsidRPr="00B179C8">
              <w:rPr>
                <w:i/>
                <w:iCs/>
                <w:color w:val="222222"/>
                <w:shd w:val="clear" w:color="auto" w:fill="FFFFFF"/>
              </w:rPr>
              <w:t>38</w:t>
            </w:r>
            <w:r w:rsidRPr="00B179C8">
              <w:rPr>
                <w:color w:val="222222"/>
                <w:shd w:val="clear" w:color="auto" w:fill="FFFFFF"/>
              </w:rPr>
              <w:t>(5), pp.1023-1050.</w:t>
            </w:r>
          </w:p>
        </w:tc>
      </w:tr>
      <w:tr w:rsidR="009E23CB" w:rsidRPr="00E6561E" w14:paraId="5F663B4E" w14:textId="77777777" w:rsidTr="008032EE">
        <w:trPr>
          <w:trHeight w:val="20"/>
        </w:trPr>
        <w:tc>
          <w:tcPr>
            <w:tcW w:w="810" w:type="dxa"/>
            <w:shd w:val="clear" w:color="auto" w:fill="auto"/>
            <w:vAlign w:val="center"/>
          </w:tcPr>
          <w:p w14:paraId="682E1065" w14:textId="77777777" w:rsidR="009E23CB" w:rsidRPr="00934689" w:rsidRDefault="009E23CB" w:rsidP="009E23CB">
            <w:pPr>
              <w:rPr>
                <w:rFonts w:cs="Times New Roman"/>
                <w:sz w:val="24"/>
                <w:szCs w:val="22"/>
              </w:rPr>
            </w:pPr>
            <w:r w:rsidRPr="00934689">
              <w:rPr>
                <w:rFonts w:cs="Times New Roman"/>
                <w:sz w:val="24"/>
                <w:szCs w:val="22"/>
              </w:rPr>
              <w:t>12</w:t>
            </w:r>
          </w:p>
        </w:tc>
        <w:tc>
          <w:tcPr>
            <w:tcW w:w="3690" w:type="dxa"/>
            <w:shd w:val="clear" w:color="auto" w:fill="auto"/>
          </w:tcPr>
          <w:p w14:paraId="0740D1EF" w14:textId="01B181D1" w:rsidR="009E23CB" w:rsidRDefault="009E23CB" w:rsidP="009E23CB">
            <w:pPr>
              <w:rPr>
                <w:rFonts w:cs="Times New Roman"/>
                <w:szCs w:val="22"/>
              </w:rPr>
            </w:pPr>
            <w:r>
              <w:rPr>
                <w:rFonts w:cs="Times New Roman"/>
                <w:szCs w:val="22"/>
              </w:rPr>
              <w:t>The Affordable Care Act</w:t>
            </w:r>
            <w:r w:rsidRPr="00065CF3">
              <w:rPr>
                <w:rFonts w:cs="Times New Roman"/>
                <w:szCs w:val="22"/>
              </w:rPr>
              <w:t xml:space="preserve"> (</w:t>
            </w:r>
            <w:r>
              <w:rPr>
                <w:rFonts w:cs="Times New Roman"/>
                <w:szCs w:val="22"/>
              </w:rPr>
              <w:t>4/</w:t>
            </w:r>
            <w:r w:rsidR="0094273F">
              <w:rPr>
                <w:rFonts w:cs="Times New Roman"/>
                <w:szCs w:val="22"/>
              </w:rPr>
              <w:t>4</w:t>
            </w:r>
            <w:r w:rsidRPr="00065CF3">
              <w:rPr>
                <w:rFonts w:cs="Times New Roman"/>
                <w:szCs w:val="22"/>
              </w:rPr>
              <w:t>)</w:t>
            </w:r>
          </w:p>
          <w:p w14:paraId="2800657C" w14:textId="77777777" w:rsidR="00661E72" w:rsidRDefault="00661E72" w:rsidP="009E23CB">
            <w:pPr>
              <w:rPr>
                <w:rFonts w:cs="Times New Roman"/>
                <w:szCs w:val="22"/>
              </w:rPr>
            </w:pPr>
          </w:p>
          <w:p w14:paraId="32421DB7" w14:textId="1F42FFD3" w:rsidR="00661E72" w:rsidRPr="00CB774B" w:rsidRDefault="00661E72" w:rsidP="00661E72">
            <w:pPr>
              <w:rPr>
                <w:rFonts w:cs="Times New Roman"/>
                <w:szCs w:val="22"/>
              </w:rPr>
            </w:pPr>
            <w:r w:rsidRPr="00065CF3">
              <w:rPr>
                <w:rFonts w:cs="Times New Roman"/>
                <w:szCs w:val="22"/>
              </w:rPr>
              <w:t>Public Health Policy is Everywhere</w:t>
            </w:r>
            <w:r w:rsidRPr="00CB774B">
              <w:rPr>
                <w:rFonts w:cs="Times New Roman"/>
                <w:szCs w:val="22"/>
              </w:rPr>
              <w:t xml:space="preserve"> (</w:t>
            </w:r>
            <w:r>
              <w:rPr>
                <w:rFonts w:cs="Times New Roman"/>
                <w:szCs w:val="22"/>
              </w:rPr>
              <w:t>4/</w:t>
            </w:r>
            <w:r w:rsidR="0094273F">
              <w:rPr>
                <w:rFonts w:cs="Times New Roman"/>
                <w:szCs w:val="22"/>
              </w:rPr>
              <w:t>6</w:t>
            </w:r>
            <w:r w:rsidRPr="00CB774B">
              <w:rPr>
                <w:rFonts w:cs="Times New Roman"/>
                <w:szCs w:val="22"/>
              </w:rPr>
              <w:t>)</w:t>
            </w:r>
          </w:p>
          <w:p w14:paraId="4A37DE96" w14:textId="5CC26097" w:rsidR="00661E72" w:rsidRPr="00934689" w:rsidRDefault="00661E72" w:rsidP="009E23CB">
            <w:pPr>
              <w:rPr>
                <w:rFonts w:cs="Times New Roman"/>
                <w:sz w:val="24"/>
                <w:szCs w:val="22"/>
              </w:rPr>
            </w:pPr>
          </w:p>
        </w:tc>
        <w:tc>
          <w:tcPr>
            <w:tcW w:w="6025" w:type="dxa"/>
            <w:shd w:val="clear" w:color="auto" w:fill="auto"/>
          </w:tcPr>
          <w:p w14:paraId="2DB5FF34" w14:textId="61960342" w:rsidR="00661E72" w:rsidRPr="005F7BAD" w:rsidRDefault="00661E72" w:rsidP="00661E72">
            <w:pPr>
              <w:pStyle w:val="ListParagraph"/>
              <w:numPr>
                <w:ilvl w:val="0"/>
                <w:numId w:val="14"/>
              </w:numPr>
              <w:spacing w:before="0"/>
              <w:ind w:left="360"/>
              <w:rPr>
                <w:rFonts w:eastAsia="Times New Roman" w:cs="Times New Roman"/>
                <w:szCs w:val="22"/>
              </w:rPr>
            </w:pPr>
            <w:r>
              <w:rPr>
                <w:rFonts w:cs="Times New Roman"/>
                <w:color w:val="222222"/>
                <w:szCs w:val="22"/>
                <w:shd w:val="clear" w:color="auto" w:fill="FFFFFF"/>
              </w:rPr>
              <w:t>Ol</w:t>
            </w:r>
            <w:r w:rsidR="0094273F">
              <w:rPr>
                <w:rFonts w:cs="Times New Roman"/>
                <w:color w:val="222222"/>
                <w:szCs w:val="22"/>
                <w:shd w:val="clear" w:color="auto" w:fill="FFFFFF"/>
              </w:rPr>
              <w:t>eszek, Mark J., and Walter J. Oleszek. 2012. Legislative Sausage-Making: Health Care Reform in the 111</w:t>
            </w:r>
            <w:r w:rsidR="0094273F" w:rsidRPr="0094273F">
              <w:rPr>
                <w:rFonts w:cs="Times New Roman"/>
                <w:color w:val="222222"/>
                <w:szCs w:val="22"/>
                <w:shd w:val="clear" w:color="auto" w:fill="FFFFFF"/>
                <w:vertAlign w:val="superscript"/>
              </w:rPr>
              <w:t>th</w:t>
            </w:r>
            <w:r w:rsidR="0094273F">
              <w:rPr>
                <w:rFonts w:cs="Times New Roman"/>
                <w:color w:val="222222"/>
                <w:szCs w:val="22"/>
                <w:shd w:val="clear" w:color="auto" w:fill="FFFFFF"/>
              </w:rPr>
              <w:t xml:space="preserve"> Congress: In Party and Procedure in the United States Congress., ed. Jacob R. Straus. Rowman and Littlefield. </w:t>
            </w:r>
          </w:p>
          <w:p w14:paraId="65674AA4" w14:textId="77777777" w:rsidR="00661E72" w:rsidRDefault="00661E72" w:rsidP="00661E72">
            <w:pPr>
              <w:pStyle w:val="ColorfulList-Accent12"/>
              <w:ind w:left="0"/>
            </w:pPr>
          </w:p>
          <w:p w14:paraId="0ADE31AD" w14:textId="77777777" w:rsidR="0094273F" w:rsidRPr="00B179C8" w:rsidRDefault="0094273F" w:rsidP="0094273F">
            <w:pPr>
              <w:pStyle w:val="ListParagraph"/>
              <w:numPr>
                <w:ilvl w:val="0"/>
                <w:numId w:val="14"/>
              </w:numPr>
              <w:spacing w:before="0"/>
              <w:ind w:left="360"/>
              <w:rPr>
                <w:rFonts w:eastAsia="Times New Roman" w:cs="Times New Roman"/>
                <w:szCs w:val="22"/>
              </w:rPr>
            </w:pPr>
            <w:r w:rsidRPr="00B179C8">
              <w:rPr>
                <w:rFonts w:cs="Times New Roman"/>
                <w:color w:val="222222"/>
                <w:szCs w:val="22"/>
                <w:shd w:val="clear" w:color="auto" w:fill="FFFFFF"/>
              </w:rPr>
              <w:t>Perez, C.C., 2019. </w:t>
            </w:r>
            <w:r w:rsidRPr="00B179C8">
              <w:rPr>
                <w:rFonts w:cs="Times New Roman"/>
                <w:i/>
                <w:iCs/>
                <w:color w:val="222222"/>
                <w:szCs w:val="22"/>
                <w:shd w:val="clear" w:color="auto" w:fill="FFFFFF"/>
              </w:rPr>
              <w:t>Invisible women: Exposing data bias in a world designed for men</w:t>
            </w:r>
            <w:r w:rsidRPr="00B179C8">
              <w:rPr>
                <w:rFonts w:cs="Times New Roman"/>
                <w:color w:val="222222"/>
                <w:szCs w:val="22"/>
                <w:shd w:val="clear" w:color="auto" w:fill="FFFFFF"/>
              </w:rPr>
              <w:t>. Random House. Pgs. 29-46</w:t>
            </w:r>
          </w:p>
          <w:p w14:paraId="2121EE0C" w14:textId="59E32530" w:rsidR="00661E72" w:rsidRPr="0094273F" w:rsidRDefault="0094273F" w:rsidP="0094273F">
            <w:pPr>
              <w:pStyle w:val="ListParagraph"/>
              <w:numPr>
                <w:ilvl w:val="0"/>
                <w:numId w:val="14"/>
              </w:numPr>
              <w:spacing w:before="0"/>
              <w:ind w:left="360"/>
              <w:rPr>
                <w:rFonts w:cs="Times New Roman"/>
                <w:szCs w:val="22"/>
              </w:rPr>
            </w:pPr>
            <w:proofErr w:type="spellStart"/>
            <w:r w:rsidRPr="00B179C8">
              <w:rPr>
                <w:color w:val="222222"/>
                <w:shd w:val="clear" w:color="auto" w:fill="FFFFFF"/>
              </w:rPr>
              <w:t>Maantay</w:t>
            </w:r>
            <w:proofErr w:type="spellEnd"/>
            <w:r w:rsidRPr="00B179C8">
              <w:rPr>
                <w:color w:val="222222"/>
                <w:shd w:val="clear" w:color="auto" w:fill="FFFFFF"/>
              </w:rPr>
              <w:t>, J., 2001. Zoning, equity, and public health. </w:t>
            </w:r>
            <w:r w:rsidRPr="00B179C8">
              <w:rPr>
                <w:i/>
                <w:iCs/>
                <w:color w:val="222222"/>
                <w:shd w:val="clear" w:color="auto" w:fill="FFFFFF"/>
              </w:rPr>
              <w:t>American journal of public health</w:t>
            </w:r>
            <w:r w:rsidRPr="00B179C8">
              <w:rPr>
                <w:color w:val="222222"/>
                <w:shd w:val="clear" w:color="auto" w:fill="FFFFFF"/>
              </w:rPr>
              <w:t>, </w:t>
            </w:r>
            <w:r w:rsidRPr="00B179C8">
              <w:rPr>
                <w:i/>
                <w:iCs/>
                <w:color w:val="222222"/>
                <w:shd w:val="clear" w:color="auto" w:fill="FFFFFF"/>
              </w:rPr>
              <w:t>91</w:t>
            </w:r>
            <w:r w:rsidRPr="00B179C8">
              <w:rPr>
                <w:color w:val="222222"/>
                <w:shd w:val="clear" w:color="auto" w:fill="FFFFFF"/>
              </w:rPr>
              <w:t>(7), p.1033.</w:t>
            </w:r>
          </w:p>
          <w:p w14:paraId="5C630FE9" w14:textId="5307F3C3" w:rsidR="009E23CB" w:rsidRPr="002244C1" w:rsidRDefault="009E23CB" w:rsidP="00661E72">
            <w:pPr>
              <w:pStyle w:val="ColorfulList-Accent12"/>
              <w:ind w:left="0"/>
              <w:rPr>
                <w:rFonts w:ascii="Times New Roman" w:hAnsi="Times New Roman"/>
              </w:rPr>
            </w:pPr>
          </w:p>
        </w:tc>
      </w:tr>
      <w:tr w:rsidR="009E23CB" w:rsidRPr="00E6561E" w14:paraId="42A566D3" w14:textId="77777777" w:rsidTr="00E90BCC">
        <w:trPr>
          <w:trHeight w:val="20"/>
        </w:trPr>
        <w:tc>
          <w:tcPr>
            <w:tcW w:w="810" w:type="dxa"/>
            <w:shd w:val="clear" w:color="auto" w:fill="auto"/>
            <w:vAlign w:val="center"/>
          </w:tcPr>
          <w:p w14:paraId="6FFDFB1F" w14:textId="77777777" w:rsidR="009E23CB" w:rsidRPr="00934689" w:rsidRDefault="009E23CB" w:rsidP="009E23CB">
            <w:pPr>
              <w:rPr>
                <w:rFonts w:cs="Times New Roman"/>
                <w:sz w:val="24"/>
                <w:szCs w:val="22"/>
              </w:rPr>
            </w:pPr>
            <w:r w:rsidRPr="00934689">
              <w:rPr>
                <w:rFonts w:cs="Times New Roman"/>
                <w:sz w:val="24"/>
                <w:szCs w:val="22"/>
              </w:rPr>
              <w:t>13</w:t>
            </w:r>
          </w:p>
        </w:tc>
        <w:tc>
          <w:tcPr>
            <w:tcW w:w="3690" w:type="dxa"/>
            <w:shd w:val="clear" w:color="auto" w:fill="auto"/>
          </w:tcPr>
          <w:p w14:paraId="57B14A31" w14:textId="3B7F905B" w:rsidR="009E23CB" w:rsidRDefault="009E23CB" w:rsidP="009E23CB">
            <w:pPr>
              <w:rPr>
                <w:rFonts w:cs="Times New Roman"/>
                <w:szCs w:val="22"/>
              </w:rPr>
            </w:pPr>
            <w:r>
              <w:rPr>
                <w:rFonts w:cs="Times New Roman"/>
                <w:szCs w:val="22"/>
              </w:rPr>
              <w:t>The Opioid Epidemic</w:t>
            </w:r>
            <w:r w:rsidRPr="00CB774B">
              <w:rPr>
                <w:rFonts w:cs="Times New Roman"/>
                <w:szCs w:val="22"/>
              </w:rPr>
              <w:t xml:space="preserve"> (</w:t>
            </w:r>
            <w:r>
              <w:rPr>
                <w:rFonts w:cs="Times New Roman"/>
                <w:szCs w:val="22"/>
              </w:rPr>
              <w:t>4/1</w:t>
            </w:r>
            <w:r w:rsidR="0094273F">
              <w:rPr>
                <w:rFonts w:cs="Times New Roman"/>
                <w:szCs w:val="22"/>
              </w:rPr>
              <w:t>1</w:t>
            </w:r>
            <w:r w:rsidRPr="00CB774B">
              <w:rPr>
                <w:rFonts w:cs="Times New Roman"/>
                <w:szCs w:val="22"/>
              </w:rPr>
              <w:t>)</w:t>
            </w:r>
          </w:p>
          <w:p w14:paraId="0AC6AE90" w14:textId="77777777" w:rsidR="00AB2023" w:rsidRPr="00CB774B" w:rsidRDefault="00AB2023" w:rsidP="009E23CB">
            <w:pPr>
              <w:rPr>
                <w:rFonts w:cs="Times New Roman"/>
                <w:szCs w:val="22"/>
              </w:rPr>
            </w:pPr>
          </w:p>
          <w:p w14:paraId="7D97C1A7" w14:textId="0475165C" w:rsidR="009E23CB" w:rsidRPr="00151610" w:rsidRDefault="00AB2023" w:rsidP="009E23CB">
            <w:pPr>
              <w:rPr>
                <w:rFonts w:cs="Times New Roman"/>
              </w:rPr>
            </w:pPr>
            <w:r>
              <w:rPr>
                <w:rFonts w:cs="Times New Roman"/>
                <w:szCs w:val="22"/>
              </w:rPr>
              <w:t>Climate Change and Health Policy</w:t>
            </w:r>
            <w:r w:rsidRPr="00CB774B">
              <w:rPr>
                <w:rFonts w:cs="Times New Roman"/>
                <w:szCs w:val="22"/>
              </w:rPr>
              <w:t xml:space="preserve"> (</w:t>
            </w:r>
            <w:r>
              <w:rPr>
                <w:rFonts w:cs="Times New Roman"/>
                <w:szCs w:val="22"/>
              </w:rPr>
              <w:t>4/13</w:t>
            </w:r>
            <w:r w:rsidRPr="00CB774B">
              <w:rPr>
                <w:rFonts w:cs="Times New Roman"/>
                <w:szCs w:val="22"/>
              </w:rPr>
              <w:t>)</w:t>
            </w:r>
          </w:p>
        </w:tc>
        <w:tc>
          <w:tcPr>
            <w:tcW w:w="6025" w:type="dxa"/>
            <w:shd w:val="clear" w:color="auto" w:fill="auto"/>
          </w:tcPr>
          <w:p w14:paraId="71A25E35" w14:textId="77777777" w:rsidR="009E23CB" w:rsidRPr="00042109" w:rsidRDefault="009E23CB" w:rsidP="009E23CB">
            <w:pPr>
              <w:pStyle w:val="ListParagraph"/>
              <w:numPr>
                <w:ilvl w:val="0"/>
                <w:numId w:val="14"/>
              </w:numPr>
              <w:spacing w:before="0"/>
              <w:ind w:left="360"/>
              <w:rPr>
                <w:rFonts w:cs="Times New Roman"/>
                <w:szCs w:val="22"/>
              </w:rPr>
            </w:pPr>
            <w:r w:rsidRPr="00042109">
              <w:rPr>
                <w:rFonts w:cs="Times New Roman"/>
                <w:color w:val="222222"/>
                <w:szCs w:val="22"/>
                <w:shd w:val="clear" w:color="auto" w:fill="FFFFFF"/>
              </w:rPr>
              <w:t>DeWeerdt, S., 2019. Tracing the US opioid crisis to its roots. </w:t>
            </w:r>
            <w:r w:rsidRPr="00042109">
              <w:rPr>
                <w:rFonts w:cs="Times New Roman"/>
                <w:i/>
                <w:iCs/>
                <w:color w:val="222222"/>
                <w:szCs w:val="22"/>
                <w:shd w:val="clear" w:color="auto" w:fill="FFFFFF"/>
              </w:rPr>
              <w:t>Nature</w:t>
            </w:r>
            <w:r w:rsidRPr="00042109">
              <w:rPr>
                <w:rFonts w:cs="Times New Roman"/>
                <w:color w:val="222222"/>
                <w:szCs w:val="22"/>
                <w:shd w:val="clear" w:color="auto" w:fill="FFFFFF"/>
              </w:rPr>
              <w:t>, </w:t>
            </w:r>
            <w:r w:rsidRPr="00042109">
              <w:rPr>
                <w:rFonts w:cs="Times New Roman"/>
                <w:i/>
                <w:iCs/>
                <w:color w:val="222222"/>
                <w:szCs w:val="22"/>
                <w:shd w:val="clear" w:color="auto" w:fill="FFFFFF"/>
              </w:rPr>
              <w:t>573</w:t>
            </w:r>
            <w:r w:rsidRPr="00042109">
              <w:rPr>
                <w:rFonts w:cs="Times New Roman"/>
                <w:color w:val="222222"/>
                <w:szCs w:val="22"/>
                <w:shd w:val="clear" w:color="auto" w:fill="FFFFFF"/>
              </w:rPr>
              <w:t xml:space="preserve">(7773), </w:t>
            </w:r>
            <w:proofErr w:type="gramStart"/>
            <w:r w:rsidRPr="00042109">
              <w:rPr>
                <w:rFonts w:cs="Times New Roman"/>
                <w:color w:val="222222"/>
                <w:szCs w:val="22"/>
                <w:shd w:val="clear" w:color="auto" w:fill="FFFFFF"/>
              </w:rPr>
              <w:t>pp.S</w:t>
            </w:r>
            <w:proofErr w:type="gramEnd"/>
            <w:r w:rsidRPr="00042109">
              <w:rPr>
                <w:rFonts w:cs="Times New Roman"/>
                <w:color w:val="222222"/>
                <w:szCs w:val="22"/>
                <w:shd w:val="clear" w:color="auto" w:fill="FFFFFF"/>
              </w:rPr>
              <w:t>10-S10.</w:t>
            </w:r>
          </w:p>
          <w:p w14:paraId="7D050253" w14:textId="77777777" w:rsidR="009E23CB" w:rsidRPr="00042109" w:rsidRDefault="009E23CB" w:rsidP="009E23CB">
            <w:pPr>
              <w:pStyle w:val="ListParagraph"/>
              <w:numPr>
                <w:ilvl w:val="0"/>
                <w:numId w:val="14"/>
              </w:numPr>
              <w:spacing w:before="0"/>
              <w:ind w:left="360"/>
              <w:rPr>
                <w:rFonts w:cs="Times New Roman"/>
                <w:szCs w:val="22"/>
              </w:rPr>
            </w:pPr>
            <w:r w:rsidRPr="00042109">
              <w:rPr>
                <w:rFonts w:cs="Times New Roman"/>
                <w:color w:val="222222"/>
                <w:szCs w:val="22"/>
                <w:shd w:val="clear" w:color="auto" w:fill="FFFFFF"/>
              </w:rPr>
              <w:t xml:space="preserve">Netherland, </w:t>
            </w:r>
            <w:proofErr w:type="gramStart"/>
            <w:r w:rsidRPr="00042109">
              <w:rPr>
                <w:rFonts w:cs="Times New Roman"/>
                <w:color w:val="222222"/>
                <w:szCs w:val="22"/>
                <w:shd w:val="clear" w:color="auto" w:fill="FFFFFF"/>
              </w:rPr>
              <w:t>J.</w:t>
            </w:r>
            <w:proofErr w:type="gramEnd"/>
            <w:r w:rsidRPr="00042109">
              <w:rPr>
                <w:rFonts w:cs="Times New Roman"/>
                <w:color w:val="222222"/>
                <w:szCs w:val="22"/>
                <w:shd w:val="clear" w:color="auto" w:fill="FFFFFF"/>
              </w:rPr>
              <w:t xml:space="preserve"> and Hansen, H.B., 2016. The war on drugs that wasn’t: Wasted whiteness,</w:t>
            </w:r>
            <w:r>
              <w:rPr>
                <w:rFonts w:cs="Times New Roman"/>
                <w:color w:val="222222"/>
                <w:szCs w:val="22"/>
                <w:shd w:val="clear" w:color="auto" w:fill="FFFFFF"/>
              </w:rPr>
              <w:t xml:space="preserve"> </w:t>
            </w:r>
            <w:r w:rsidRPr="00042109">
              <w:rPr>
                <w:rFonts w:cs="Times New Roman"/>
                <w:color w:val="222222"/>
                <w:szCs w:val="22"/>
                <w:shd w:val="clear" w:color="auto" w:fill="FFFFFF"/>
              </w:rPr>
              <w:t>“dirty doctors,” and race in media coverage of prescription opioid misuse. </w:t>
            </w:r>
            <w:r w:rsidRPr="00042109">
              <w:rPr>
                <w:rFonts w:cs="Times New Roman"/>
                <w:i/>
                <w:iCs/>
                <w:color w:val="222222"/>
                <w:szCs w:val="22"/>
                <w:shd w:val="clear" w:color="auto" w:fill="FFFFFF"/>
              </w:rPr>
              <w:t>Culture, Medicine, and Psychiatry</w:t>
            </w:r>
            <w:r w:rsidRPr="00042109">
              <w:rPr>
                <w:rFonts w:cs="Times New Roman"/>
                <w:color w:val="222222"/>
                <w:szCs w:val="22"/>
                <w:shd w:val="clear" w:color="auto" w:fill="FFFFFF"/>
              </w:rPr>
              <w:t>, </w:t>
            </w:r>
            <w:r w:rsidRPr="00042109">
              <w:rPr>
                <w:rFonts w:cs="Times New Roman"/>
                <w:i/>
                <w:iCs/>
                <w:color w:val="222222"/>
                <w:szCs w:val="22"/>
                <w:shd w:val="clear" w:color="auto" w:fill="FFFFFF"/>
              </w:rPr>
              <w:t>40</w:t>
            </w:r>
            <w:r w:rsidRPr="00042109">
              <w:rPr>
                <w:rFonts w:cs="Times New Roman"/>
                <w:color w:val="222222"/>
                <w:szCs w:val="22"/>
                <w:shd w:val="clear" w:color="auto" w:fill="FFFFFF"/>
              </w:rPr>
              <w:t>(4), pp.664-686.</w:t>
            </w:r>
          </w:p>
          <w:p w14:paraId="443719B8" w14:textId="77777777" w:rsidR="009E23CB" w:rsidRDefault="009E23CB" w:rsidP="009E23CB">
            <w:pPr>
              <w:pStyle w:val="ListParagraph"/>
              <w:spacing w:before="0"/>
              <w:ind w:left="360"/>
              <w:rPr>
                <w:rFonts w:cs="Times New Roman"/>
                <w:szCs w:val="22"/>
              </w:rPr>
            </w:pPr>
          </w:p>
          <w:p w14:paraId="7A8A6C85" w14:textId="77777777" w:rsidR="00AB2023" w:rsidRDefault="00AB2023" w:rsidP="00AB2023">
            <w:pPr>
              <w:pStyle w:val="ListParagraph"/>
              <w:numPr>
                <w:ilvl w:val="0"/>
                <w:numId w:val="14"/>
              </w:numPr>
              <w:spacing w:before="0"/>
              <w:ind w:left="360"/>
              <w:rPr>
                <w:rFonts w:cs="Times New Roman"/>
                <w:szCs w:val="22"/>
              </w:rPr>
            </w:pPr>
            <w:r>
              <w:rPr>
                <w:rFonts w:cs="Times New Roman"/>
                <w:szCs w:val="22"/>
              </w:rPr>
              <w:t xml:space="preserve">Shi, L., Chu, E., </w:t>
            </w:r>
            <w:proofErr w:type="spellStart"/>
            <w:r>
              <w:rPr>
                <w:rFonts w:cs="Times New Roman"/>
                <w:szCs w:val="22"/>
              </w:rPr>
              <w:t>Anguelovski</w:t>
            </w:r>
            <w:proofErr w:type="spellEnd"/>
            <w:r>
              <w:rPr>
                <w:rFonts w:cs="Times New Roman"/>
                <w:szCs w:val="22"/>
              </w:rPr>
              <w:t xml:space="preserve">, I., Aylett, A., </w:t>
            </w:r>
            <w:proofErr w:type="spellStart"/>
            <w:r>
              <w:rPr>
                <w:rFonts w:cs="Times New Roman"/>
                <w:szCs w:val="22"/>
              </w:rPr>
              <w:t>Debats</w:t>
            </w:r>
            <w:proofErr w:type="spellEnd"/>
            <w:r>
              <w:rPr>
                <w:rFonts w:cs="Times New Roman"/>
                <w:szCs w:val="22"/>
              </w:rPr>
              <w:t xml:space="preserve">, J., Goh, </w:t>
            </w:r>
            <w:proofErr w:type="gramStart"/>
            <w:r>
              <w:rPr>
                <w:rFonts w:cs="Times New Roman"/>
                <w:szCs w:val="22"/>
              </w:rPr>
              <w:t>K.,…</w:t>
            </w:r>
            <w:proofErr w:type="gramEnd"/>
            <w:r>
              <w:rPr>
                <w:rFonts w:cs="Times New Roman"/>
                <w:szCs w:val="22"/>
              </w:rPr>
              <w:t xml:space="preserve">Roberts, J. T. 2016. “Roadmap Towards Justice in Urban Climate Adaptation Research.” Nature Climate Change, 6(2), </w:t>
            </w:r>
            <w:r w:rsidRPr="00B179C8">
              <w:rPr>
                <w:rFonts w:cs="Times New Roman"/>
                <w:szCs w:val="22"/>
              </w:rPr>
              <w:t>131-137.</w:t>
            </w:r>
          </w:p>
          <w:p w14:paraId="41ED2B5D" w14:textId="05261338" w:rsidR="009E23CB" w:rsidRPr="00AB2023" w:rsidRDefault="00AB2023" w:rsidP="00AB2023">
            <w:pPr>
              <w:pStyle w:val="ListParagraph"/>
              <w:numPr>
                <w:ilvl w:val="0"/>
                <w:numId w:val="14"/>
              </w:numPr>
              <w:spacing w:before="0"/>
              <w:ind w:left="360"/>
              <w:rPr>
                <w:rFonts w:cs="Times New Roman"/>
                <w:szCs w:val="22"/>
              </w:rPr>
            </w:pPr>
            <w:r w:rsidRPr="00B179C8">
              <w:t>Motta, M. 2020. “Could Concern about Climate Change Increase Demand for a Lyme Disease Vaccine in the US?</w:t>
            </w:r>
          </w:p>
        </w:tc>
      </w:tr>
      <w:tr w:rsidR="009E23CB" w:rsidRPr="00E6561E" w14:paraId="5B62E877" w14:textId="77777777" w:rsidTr="006D76E2">
        <w:trPr>
          <w:trHeight w:val="20"/>
        </w:trPr>
        <w:tc>
          <w:tcPr>
            <w:tcW w:w="810" w:type="dxa"/>
            <w:tcBorders>
              <w:bottom w:val="single" w:sz="4" w:space="0" w:color="auto"/>
            </w:tcBorders>
            <w:shd w:val="clear" w:color="auto" w:fill="auto"/>
            <w:vAlign w:val="center"/>
          </w:tcPr>
          <w:p w14:paraId="5E6696E6" w14:textId="77777777" w:rsidR="009E23CB" w:rsidRPr="00934689" w:rsidRDefault="009E23CB" w:rsidP="009E23CB">
            <w:pPr>
              <w:rPr>
                <w:rFonts w:cs="Times New Roman"/>
                <w:sz w:val="24"/>
                <w:szCs w:val="22"/>
              </w:rPr>
            </w:pPr>
            <w:r w:rsidRPr="00934689">
              <w:rPr>
                <w:rFonts w:cs="Times New Roman"/>
                <w:sz w:val="24"/>
                <w:szCs w:val="22"/>
              </w:rPr>
              <w:t>14</w:t>
            </w:r>
          </w:p>
        </w:tc>
        <w:tc>
          <w:tcPr>
            <w:tcW w:w="3690" w:type="dxa"/>
            <w:tcBorders>
              <w:bottom w:val="single" w:sz="4" w:space="0" w:color="auto"/>
            </w:tcBorders>
            <w:shd w:val="clear" w:color="auto" w:fill="auto"/>
          </w:tcPr>
          <w:p w14:paraId="40437816" w14:textId="2AF34B79" w:rsidR="00B5235F" w:rsidRDefault="009E23CB" w:rsidP="00B5235F">
            <w:pPr>
              <w:rPr>
                <w:rFonts w:cs="Times New Roman"/>
                <w:sz w:val="24"/>
                <w:szCs w:val="22"/>
              </w:rPr>
            </w:pPr>
            <w:r w:rsidRPr="00CB774B">
              <w:rPr>
                <w:rFonts w:cs="Times New Roman"/>
                <w:szCs w:val="22"/>
              </w:rPr>
              <w:t xml:space="preserve"> </w:t>
            </w:r>
            <w:r w:rsidR="00B5235F">
              <w:rPr>
                <w:rFonts w:cs="Times New Roman"/>
                <w:szCs w:val="22"/>
              </w:rPr>
              <w:t>Vaccine Policy and COVID-19</w:t>
            </w:r>
            <w:r w:rsidR="00B5235F" w:rsidRPr="00CB774B">
              <w:rPr>
                <w:rFonts w:cs="Times New Roman"/>
                <w:szCs w:val="22"/>
              </w:rPr>
              <w:t xml:space="preserve"> </w:t>
            </w:r>
            <w:r w:rsidR="00B5235F">
              <w:rPr>
                <w:rFonts w:cs="Times New Roman"/>
                <w:sz w:val="24"/>
                <w:szCs w:val="22"/>
              </w:rPr>
              <w:t>(4/18)</w:t>
            </w:r>
          </w:p>
          <w:p w14:paraId="14D451E3" w14:textId="7762AC12" w:rsidR="009E23CB" w:rsidRPr="00CB774B" w:rsidRDefault="009E23CB" w:rsidP="009E23CB">
            <w:pPr>
              <w:rPr>
                <w:rFonts w:cs="Times New Roman"/>
                <w:szCs w:val="22"/>
              </w:rPr>
            </w:pPr>
          </w:p>
          <w:p w14:paraId="30563221" w14:textId="77777777" w:rsidR="009E23CB" w:rsidRPr="00CB774B" w:rsidRDefault="009E23CB" w:rsidP="009E23CB">
            <w:pPr>
              <w:rPr>
                <w:rFonts w:cs="Times New Roman"/>
                <w:szCs w:val="22"/>
              </w:rPr>
            </w:pPr>
          </w:p>
          <w:p w14:paraId="20B7E520" w14:textId="75CDEC75" w:rsidR="009E23CB" w:rsidRPr="00934689" w:rsidRDefault="009E23CB" w:rsidP="009E23CB">
            <w:pPr>
              <w:rPr>
                <w:rFonts w:cs="Times New Roman"/>
                <w:sz w:val="24"/>
                <w:szCs w:val="22"/>
              </w:rPr>
            </w:pPr>
            <w:r>
              <w:rPr>
                <w:rFonts w:cs="Times New Roman"/>
                <w:szCs w:val="22"/>
              </w:rPr>
              <w:lastRenderedPageBreak/>
              <w:t>Telehealth Policy; Guest Speaker Cason Schmit (4/20)</w:t>
            </w:r>
          </w:p>
        </w:tc>
        <w:tc>
          <w:tcPr>
            <w:tcW w:w="6025" w:type="dxa"/>
            <w:tcBorders>
              <w:bottom w:val="single" w:sz="4" w:space="0" w:color="auto"/>
            </w:tcBorders>
            <w:shd w:val="clear" w:color="auto" w:fill="auto"/>
          </w:tcPr>
          <w:p w14:paraId="0A73C166" w14:textId="77777777" w:rsidR="00B5235F" w:rsidRPr="004F5BFD" w:rsidRDefault="00B5235F" w:rsidP="00B5235F">
            <w:pPr>
              <w:pStyle w:val="ListParagraph"/>
              <w:numPr>
                <w:ilvl w:val="0"/>
                <w:numId w:val="14"/>
              </w:numPr>
              <w:spacing w:before="0"/>
              <w:ind w:left="360"/>
              <w:rPr>
                <w:rFonts w:asciiTheme="minorHAnsi" w:hAnsiTheme="minorHAnsi" w:cstheme="minorHAnsi"/>
                <w:sz w:val="20"/>
                <w:szCs w:val="22"/>
              </w:rPr>
            </w:pPr>
            <w:r w:rsidRPr="004F5BFD">
              <w:rPr>
                <w:rFonts w:cs="Times New Roman"/>
                <w:szCs w:val="24"/>
              </w:rPr>
              <w:lastRenderedPageBreak/>
              <w:t xml:space="preserve">Callaghan, Timothy, Ali Moghtaderi, Jennifer Lueck, Peter Hotez, Erika Franklin Fowler, Ulrich </w:t>
            </w:r>
            <w:proofErr w:type="spellStart"/>
            <w:r w:rsidRPr="004F5BFD">
              <w:rPr>
                <w:rFonts w:cs="Times New Roman"/>
                <w:szCs w:val="24"/>
              </w:rPr>
              <w:t>Strych</w:t>
            </w:r>
            <w:proofErr w:type="spellEnd"/>
            <w:r w:rsidRPr="004F5BFD">
              <w:rPr>
                <w:rFonts w:cs="Times New Roman"/>
                <w:szCs w:val="24"/>
              </w:rPr>
              <w:t>, Avi Door, and Matthew Motta.</w:t>
            </w:r>
            <w:r>
              <w:rPr>
                <w:rFonts w:cs="Times New Roman"/>
                <w:szCs w:val="24"/>
              </w:rPr>
              <w:t xml:space="preserve"> 2021</w:t>
            </w:r>
            <w:r w:rsidRPr="004F5BFD">
              <w:rPr>
                <w:rFonts w:cs="Times New Roman"/>
                <w:color w:val="000000"/>
                <w:szCs w:val="24"/>
              </w:rPr>
              <w:t xml:space="preserve">. </w:t>
            </w:r>
            <w:r w:rsidRPr="004F5BFD">
              <w:rPr>
                <w:rFonts w:cs="Times New Roman"/>
                <w:szCs w:val="24"/>
              </w:rPr>
              <w:t>“Correlates and Disparities of Intention to Vaccinate Against COVID-19.”</w:t>
            </w:r>
            <w:r w:rsidRPr="004F5BFD">
              <w:rPr>
                <w:rFonts w:cs="Times New Roman"/>
              </w:rPr>
              <w:t xml:space="preserve"> </w:t>
            </w:r>
            <w:r w:rsidRPr="004F5BFD">
              <w:rPr>
                <w:rFonts w:cs="Times New Roman"/>
                <w:i/>
              </w:rPr>
              <w:t xml:space="preserve">Social Science and Medicine. </w:t>
            </w:r>
          </w:p>
          <w:p w14:paraId="03D5D9B9" w14:textId="34632E49" w:rsidR="00B5235F" w:rsidRPr="00B5235F" w:rsidRDefault="00B5235F" w:rsidP="00B5235F">
            <w:pPr>
              <w:pStyle w:val="ListParagraph"/>
              <w:numPr>
                <w:ilvl w:val="0"/>
                <w:numId w:val="14"/>
              </w:numPr>
              <w:spacing w:before="0"/>
              <w:ind w:left="360"/>
              <w:rPr>
                <w:rStyle w:val="Hyperlink"/>
                <w:rFonts w:cs="Times New Roman"/>
                <w:color w:val="auto"/>
                <w:sz w:val="24"/>
                <w:szCs w:val="22"/>
                <w:u w:val="none"/>
              </w:rPr>
            </w:pPr>
            <w:r>
              <w:lastRenderedPageBreak/>
              <w:t xml:space="preserve">Beil, Laura. 2017. “Peter Hotez vs. Measles and the Anti-Vaccine Movement. Texas Monthly. December 2017. </w:t>
            </w:r>
            <w:hyperlink r:id="rId19" w:history="1">
              <w:r>
                <w:rPr>
                  <w:rStyle w:val="Hyperlink"/>
                </w:rPr>
                <w:t>https://www.texasmonthly.com/articles/scientist-stop-measles-texas/</w:t>
              </w:r>
            </w:hyperlink>
            <w:r>
              <w:rPr>
                <w:rStyle w:val="Hyperlink"/>
              </w:rPr>
              <w:t xml:space="preserve"> </w:t>
            </w:r>
          </w:p>
          <w:p w14:paraId="5BF384EE" w14:textId="77777777" w:rsidR="00B5235F" w:rsidRPr="00B5235F" w:rsidRDefault="00B5235F" w:rsidP="00B5235F">
            <w:pPr>
              <w:pStyle w:val="ListParagraph"/>
              <w:spacing w:before="0"/>
              <w:ind w:left="360"/>
              <w:rPr>
                <w:rStyle w:val="Hyperlink"/>
                <w:rFonts w:cs="Times New Roman"/>
                <w:color w:val="auto"/>
                <w:sz w:val="24"/>
                <w:szCs w:val="22"/>
                <w:u w:val="none"/>
              </w:rPr>
            </w:pPr>
          </w:p>
          <w:p w14:paraId="49DDC1DC" w14:textId="4E9139CC" w:rsidR="009E23CB" w:rsidRPr="00934689" w:rsidRDefault="00B5235F" w:rsidP="00B5235F">
            <w:pPr>
              <w:pStyle w:val="ListParagraph"/>
              <w:numPr>
                <w:ilvl w:val="0"/>
                <w:numId w:val="14"/>
              </w:numPr>
              <w:spacing w:before="0"/>
              <w:ind w:left="360"/>
              <w:rPr>
                <w:rFonts w:cs="Times New Roman"/>
                <w:sz w:val="24"/>
                <w:szCs w:val="22"/>
              </w:rPr>
            </w:pPr>
            <w:r w:rsidRPr="00E8631F">
              <w:t xml:space="preserve">Schmit, Cason, Jonathan Schwitzer, Kevin Survance, Megan Barbre, Yeka </w:t>
            </w:r>
            <w:proofErr w:type="spellStart"/>
            <w:r w:rsidRPr="00E8631F">
              <w:t>Nmadu</w:t>
            </w:r>
            <w:proofErr w:type="spellEnd"/>
            <w:r w:rsidRPr="00E8631F">
              <w:t>, and Carly McCord.” 2020. Telehealth in the COVID-19 Pandemic.” COVID Policy Playbook – August 2020.</w:t>
            </w:r>
          </w:p>
        </w:tc>
      </w:tr>
      <w:tr w:rsidR="009E23CB" w:rsidRPr="00E6561E" w14:paraId="0A92DF2E" w14:textId="77777777" w:rsidTr="00E31843">
        <w:trPr>
          <w:trHeight w:val="20"/>
        </w:trPr>
        <w:tc>
          <w:tcPr>
            <w:tcW w:w="810" w:type="dxa"/>
            <w:shd w:val="clear" w:color="auto" w:fill="auto"/>
            <w:vAlign w:val="center"/>
          </w:tcPr>
          <w:p w14:paraId="34984540" w14:textId="54AAA195" w:rsidR="009E23CB" w:rsidRPr="00934689" w:rsidRDefault="009E23CB" w:rsidP="009E23CB">
            <w:pPr>
              <w:rPr>
                <w:rFonts w:cs="Times New Roman"/>
                <w:sz w:val="24"/>
                <w:szCs w:val="22"/>
              </w:rPr>
            </w:pPr>
            <w:r>
              <w:rPr>
                <w:rFonts w:cs="Times New Roman"/>
                <w:sz w:val="24"/>
                <w:szCs w:val="22"/>
              </w:rPr>
              <w:lastRenderedPageBreak/>
              <w:t>15</w:t>
            </w:r>
          </w:p>
        </w:tc>
        <w:tc>
          <w:tcPr>
            <w:tcW w:w="3690" w:type="dxa"/>
            <w:shd w:val="clear" w:color="auto" w:fill="auto"/>
            <w:vAlign w:val="center"/>
          </w:tcPr>
          <w:p w14:paraId="0695318A" w14:textId="6F715590" w:rsidR="009E23CB" w:rsidRDefault="009E23CB" w:rsidP="009E23CB">
            <w:pPr>
              <w:rPr>
                <w:rFonts w:cs="Times New Roman"/>
                <w:sz w:val="24"/>
                <w:szCs w:val="22"/>
              </w:rPr>
            </w:pPr>
            <w:r w:rsidRPr="00F931FD">
              <w:rPr>
                <w:rFonts w:cs="Times New Roman"/>
                <w:sz w:val="24"/>
                <w:szCs w:val="22"/>
              </w:rPr>
              <w:t>The Politics of the COVID-19 Pandemic (4/2</w:t>
            </w:r>
            <w:r w:rsidR="00B5235F">
              <w:rPr>
                <w:rFonts w:cs="Times New Roman"/>
                <w:sz w:val="24"/>
                <w:szCs w:val="22"/>
              </w:rPr>
              <w:t>5</w:t>
            </w:r>
            <w:r w:rsidRPr="00F931FD">
              <w:rPr>
                <w:rFonts w:cs="Times New Roman"/>
                <w:sz w:val="24"/>
                <w:szCs w:val="22"/>
              </w:rPr>
              <w:t>)</w:t>
            </w:r>
          </w:p>
          <w:p w14:paraId="69EC7630" w14:textId="2F7EF976" w:rsidR="00B5235F" w:rsidRDefault="00B5235F" w:rsidP="009E23CB">
            <w:pPr>
              <w:rPr>
                <w:rFonts w:cs="Times New Roman"/>
                <w:sz w:val="24"/>
                <w:szCs w:val="22"/>
              </w:rPr>
            </w:pPr>
          </w:p>
          <w:p w14:paraId="3534FE88" w14:textId="6D1BE07D" w:rsidR="00B5235F" w:rsidRDefault="00EE7ED0" w:rsidP="009E23CB">
            <w:pPr>
              <w:rPr>
                <w:rFonts w:cs="Times New Roman"/>
                <w:sz w:val="24"/>
                <w:szCs w:val="22"/>
              </w:rPr>
            </w:pPr>
            <w:r>
              <w:rPr>
                <w:rFonts w:cs="Times New Roman"/>
                <w:sz w:val="24"/>
                <w:szCs w:val="22"/>
              </w:rPr>
              <w:t>Class</w:t>
            </w:r>
            <w:r w:rsidR="00B5235F">
              <w:rPr>
                <w:rFonts w:cs="Times New Roman"/>
                <w:sz w:val="24"/>
                <w:szCs w:val="22"/>
              </w:rPr>
              <w:t xml:space="preserve"> Choice of Topic in Health Policy and Politics (4/27)</w:t>
            </w:r>
          </w:p>
          <w:p w14:paraId="50A574E7" w14:textId="77777777" w:rsidR="009E23CB" w:rsidRDefault="009E23CB" w:rsidP="009E23CB">
            <w:pPr>
              <w:rPr>
                <w:rFonts w:cs="Times New Roman"/>
                <w:b/>
                <w:bCs/>
                <w:iCs/>
                <w:sz w:val="24"/>
                <w:szCs w:val="22"/>
              </w:rPr>
            </w:pPr>
          </w:p>
        </w:tc>
        <w:tc>
          <w:tcPr>
            <w:tcW w:w="6025" w:type="dxa"/>
            <w:shd w:val="clear" w:color="auto" w:fill="auto"/>
            <w:vAlign w:val="center"/>
          </w:tcPr>
          <w:p w14:paraId="768294C9" w14:textId="77777777" w:rsidR="009E23CB" w:rsidRPr="00B5235F" w:rsidRDefault="009E23CB" w:rsidP="00B5235F">
            <w:pPr>
              <w:spacing w:before="0"/>
              <w:rPr>
                <w:rFonts w:cs="Times New Roman"/>
                <w:sz w:val="24"/>
                <w:szCs w:val="22"/>
              </w:rPr>
            </w:pPr>
          </w:p>
        </w:tc>
      </w:tr>
      <w:tr w:rsidR="009E23CB" w:rsidRPr="00E6561E" w14:paraId="5F45E5C5" w14:textId="77777777" w:rsidTr="00E31843">
        <w:trPr>
          <w:trHeight w:val="20"/>
        </w:trPr>
        <w:tc>
          <w:tcPr>
            <w:tcW w:w="810" w:type="dxa"/>
            <w:shd w:val="clear" w:color="auto" w:fill="auto"/>
            <w:vAlign w:val="center"/>
          </w:tcPr>
          <w:p w14:paraId="7C7D0B5F" w14:textId="76999366" w:rsidR="009E23CB" w:rsidRPr="00934689" w:rsidRDefault="009E23CB" w:rsidP="009E23CB">
            <w:pPr>
              <w:rPr>
                <w:rFonts w:cs="Times New Roman"/>
                <w:sz w:val="24"/>
                <w:szCs w:val="22"/>
              </w:rPr>
            </w:pPr>
            <w:r w:rsidRPr="00934689">
              <w:rPr>
                <w:rFonts w:cs="Times New Roman"/>
                <w:sz w:val="24"/>
                <w:szCs w:val="22"/>
              </w:rPr>
              <w:t>1</w:t>
            </w:r>
            <w:r>
              <w:rPr>
                <w:rFonts w:cs="Times New Roman"/>
                <w:sz w:val="24"/>
                <w:szCs w:val="22"/>
              </w:rPr>
              <w:t>6</w:t>
            </w:r>
          </w:p>
        </w:tc>
        <w:tc>
          <w:tcPr>
            <w:tcW w:w="3690" w:type="dxa"/>
            <w:shd w:val="clear" w:color="auto" w:fill="auto"/>
            <w:vAlign w:val="center"/>
          </w:tcPr>
          <w:p w14:paraId="1AF868A6" w14:textId="2601C646" w:rsidR="009E23CB" w:rsidRDefault="00F829E3" w:rsidP="009E23CB">
            <w:pPr>
              <w:rPr>
                <w:rFonts w:cs="Times New Roman"/>
                <w:b/>
                <w:bCs/>
                <w:iCs/>
                <w:sz w:val="24"/>
                <w:szCs w:val="22"/>
              </w:rPr>
            </w:pPr>
            <w:r>
              <w:rPr>
                <w:rFonts w:cs="Times New Roman"/>
                <w:b/>
                <w:bCs/>
                <w:iCs/>
                <w:sz w:val="24"/>
                <w:szCs w:val="22"/>
              </w:rPr>
              <w:t xml:space="preserve">Masters Students: </w:t>
            </w:r>
            <w:r w:rsidR="009E23CB">
              <w:rPr>
                <w:rFonts w:cs="Times New Roman"/>
                <w:b/>
                <w:bCs/>
                <w:iCs/>
                <w:sz w:val="24"/>
                <w:szCs w:val="22"/>
              </w:rPr>
              <w:t>Political Strategy Memo</w:t>
            </w:r>
            <w:r w:rsidR="009E23CB" w:rsidRPr="006500C3">
              <w:rPr>
                <w:rFonts w:cs="Times New Roman"/>
                <w:b/>
                <w:bCs/>
                <w:iCs/>
                <w:sz w:val="24"/>
                <w:szCs w:val="22"/>
              </w:rPr>
              <w:t xml:space="preserve"> Due on May 2</w:t>
            </w:r>
            <w:r w:rsidR="009E23CB" w:rsidRPr="006500C3">
              <w:rPr>
                <w:rFonts w:cs="Times New Roman"/>
                <w:b/>
                <w:bCs/>
                <w:iCs/>
                <w:sz w:val="24"/>
                <w:szCs w:val="22"/>
                <w:vertAlign w:val="superscript"/>
              </w:rPr>
              <w:t>nd</w:t>
            </w:r>
            <w:r w:rsidR="009E23CB" w:rsidRPr="006500C3">
              <w:rPr>
                <w:rFonts w:cs="Times New Roman"/>
                <w:b/>
                <w:bCs/>
                <w:iCs/>
                <w:sz w:val="24"/>
                <w:szCs w:val="22"/>
              </w:rPr>
              <w:t xml:space="preserve"> </w:t>
            </w:r>
          </w:p>
          <w:p w14:paraId="2D202D5E" w14:textId="77777777" w:rsidR="00F829E3" w:rsidRDefault="00F829E3" w:rsidP="009E23CB">
            <w:pPr>
              <w:rPr>
                <w:rFonts w:cs="Times New Roman"/>
                <w:b/>
                <w:bCs/>
                <w:iCs/>
                <w:sz w:val="24"/>
                <w:szCs w:val="22"/>
              </w:rPr>
            </w:pPr>
          </w:p>
          <w:p w14:paraId="37EA5D02" w14:textId="0110D9E4" w:rsidR="009E23CB" w:rsidRDefault="008023EB" w:rsidP="009E23CB">
            <w:pPr>
              <w:rPr>
                <w:rFonts w:cs="Times New Roman"/>
                <w:b/>
                <w:bCs/>
                <w:iCs/>
                <w:sz w:val="24"/>
                <w:szCs w:val="22"/>
              </w:rPr>
            </w:pPr>
            <w:r>
              <w:rPr>
                <w:rFonts w:cs="Times New Roman"/>
                <w:b/>
                <w:bCs/>
                <w:iCs/>
                <w:sz w:val="24"/>
                <w:szCs w:val="22"/>
              </w:rPr>
              <w:t xml:space="preserve">PhD Students: </w:t>
            </w:r>
            <w:r w:rsidR="00F829E3">
              <w:rPr>
                <w:rFonts w:cs="Times New Roman"/>
                <w:b/>
                <w:bCs/>
                <w:iCs/>
                <w:sz w:val="24"/>
                <w:szCs w:val="22"/>
              </w:rPr>
              <w:t>Term Paper due on May 2</w:t>
            </w:r>
            <w:r w:rsidR="00F829E3" w:rsidRPr="00F829E3">
              <w:rPr>
                <w:rFonts w:cs="Times New Roman"/>
                <w:b/>
                <w:bCs/>
                <w:iCs/>
                <w:sz w:val="24"/>
                <w:szCs w:val="22"/>
                <w:vertAlign w:val="superscript"/>
              </w:rPr>
              <w:t>nd</w:t>
            </w:r>
            <w:r w:rsidR="00F829E3">
              <w:rPr>
                <w:rFonts w:cs="Times New Roman"/>
                <w:b/>
                <w:bCs/>
                <w:iCs/>
                <w:sz w:val="24"/>
                <w:szCs w:val="22"/>
              </w:rPr>
              <w:t xml:space="preserve"> </w:t>
            </w:r>
          </w:p>
          <w:p w14:paraId="7BB28775" w14:textId="77777777" w:rsidR="009E23CB" w:rsidRDefault="009E23CB" w:rsidP="009E23CB">
            <w:pPr>
              <w:rPr>
                <w:rFonts w:cs="Times New Roman"/>
                <w:szCs w:val="22"/>
              </w:rPr>
            </w:pPr>
            <w:r w:rsidRPr="000A3458">
              <w:rPr>
                <w:rFonts w:cs="Times New Roman"/>
                <w:szCs w:val="22"/>
              </w:rPr>
              <w:t xml:space="preserve">No final exam per </w:t>
            </w:r>
            <w:hyperlink r:id="rId20" w:history="1">
              <w:r w:rsidRPr="000A3458">
                <w:rPr>
                  <w:rStyle w:val="Hyperlink"/>
                  <w:rFonts w:cs="Times New Roman"/>
                  <w:color w:val="auto"/>
                  <w:szCs w:val="22"/>
                </w:rPr>
                <w:t>Student Rule 8.1</w:t>
              </w:r>
            </w:hyperlink>
            <w:r w:rsidRPr="000A3458">
              <w:rPr>
                <w:rFonts w:cs="Times New Roman"/>
                <w:szCs w:val="22"/>
              </w:rPr>
              <w:t>.</w:t>
            </w:r>
          </w:p>
          <w:p w14:paraId="642A3C29" w14:textId="1BBB4E2B" w:rsidR="009E23CB" w:rsidRPr="00403E90" w:rsidRDefault="009E23CB" w:rsidP="009E23CB">
            <w:pPr>
              <w:rPr>
                <w:rFonts w:cs="Times New Roman"/>
                <w:szCs w:val="22"/>
              </w:rPr>
            </w:pPr>
          </w:p>
        </w:tc>
        <w:tc>
          <w:tcPr>
            <w:tcW w:w="6025" w:type="dxa"/>
            <w:shd w:val="clear" w:color="auto" w:fill="auto"/>
            <w:vAlign w:val="center"/>
          </w:tcPr>
          <w:p w14:paraId="4352EC74" w14:textId="6A64CE75" w:rsidR="009E23CB" w:rsidRPr="00934689" w:rsidRDefault="009E23CB" w:rsidP="009E23CB">
            <w:pPr>
              <w:rPr>
                <w:rFonts w:cs="Times New Roman"/>
                <w:sz w:val="24"/>
                <w:szCs w:val="22"/>
              </w:rPr>
            </w:pPr>
          </w:p>
        </w:tc>
      </w:tr>
    </w:tbl>
    <w:p w14:paraId="71CAEDAE" w14:textId="77777777" w:rsidR="00DA5179" w:rsidRPr="00D45ECC" w:rsidRDefault="00DA5179" w:rsidP="00E6561E">
      <w:pPr>
        <w:pStyle w:val="Heading1"/>
      </w:pPr>
      <w:r w:rsidRPr="00E6561E">
        <w:t>Grading Policies</w:t>
      </w:r>
    </w:p>
    <w:p w14:paraId="0476D215" w14:textId="77777777" w:rsidR="00E21FD1" w:rsidRDefault="00E21FD1" w:rsidP="00E21FD1">
      <w:pPr>
        <w:pStyle w:val="PlainText"/>
        <w:keepNext/>
        <w:tabs>
          <w:tab w:val="left" w:pos="360"/>
        </w:tabs>
        <w:rPr>
          <w:rFonts w:ascii="Times New Roman" w:eastAsia="MS Mincho" w:hAnsi="Times New Roman" w:cs="Times New Roman"/>
          <w:sz w:val="24"/>
          <w:szCs w:val="22"/>
        </w:rPr>
      </w:pPr>
    </w:p>
    <w:p w14:paraId="7B04F783" w14:textId="6AAFA3D0" w:rsidR="00E21FD1" w:rsidRPr="006A76E2" w:rsidRDefault="00E21FD1" w:rsidP="00E21FD1">
      <w:pPr>
        <w:pStyle w:val="PlainText"/>
        <w:keepNext/>
        <w:tabs>
          <w:tab w:val="left" w:pos="360"/>
        </w:tabs>
        <w:rPr>
          <w:rFonts w:ascii="Times New Roman" w:eastAsia="MS Mincho" w:hAnsi="Times New Roman" w:cs="Times New Roman"/>
          <w:sz w:val="24"/>
          <w:szCs w:val="22"/>
        </w:rPr>
      </w:pPr>
      <w:r w:rsidRPr="006A76E2">
        <w:rPr>
          <w:rFonts w:ascii="Times New Roman" w:eastAsia="MS Mincho" w:hAnsi="Times New Roman" w:cs="Times New Roman"/>
          <w:sz w:val="24"/>
          <w:szCs w:val="22"/>
        </w:rPr>
        <w:t xml:space="preserve">Each student’s grade for the course primarily will based on:  </w:t>
      </w:r>
    </w:p>
    <w:p w14:paraId="4FE11BB1" w14:textId="6AD059A6" w:rsidR="00C570BD" w:rsidRDefault="00C570BD"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Class Participation</w:t>
      </w:r>
    </w:p>
    <w:p w14:paraId="354B4D4E" w14:textId="4AF26387" w:rsidR="00CD25CD" w:rsidRDefault="002D6446"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Written Reaction Papers</w:t>
      </w:r>
    </w:p>
    <w:p w14:paraId="3760F30F" w14:textId="080162B6" w:rsidR="00E21FD1" w:rsidRDefault="002D6446"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 xml:space="preserve">Midterm </w:t>
      </w:r>
      <w:r w:rsidR="00C570BD">
        <w:rPr>
          <w:rFonts w:ascii="Times New Roman" w:eastAsia="MS Mincho" w:hAnsi="Times New Roman" w:cs="Times New Roman"/>
          <w:sz w:val="24"/>
          <w:szCs w:val="22"/>
        </w:rPr>
        <w:t>Exam</w:t>
      </w:r>
    </w:p>
    <w:p w14:paraId="5649BF38" w14:textId="391BB2E7" w:rsidR="00E21FD1" w:rsidRDefault="00606E60"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Political Strategy Memo</w:t>
      </w:r>
      <w:r w:rsidR="00C570BD">
        <w:rPr>
          <w:rFonts w:ascii="Times New Roman" w:eastAsia="MS Mincho" w:hAnsi="Times New Roman" w:cs="Times New Roman"/>
          <w:sz w:val="24"/>
          <w:szCs w:val="22"/>
        </w:rPr>
        <w:t xml:space="preserve"> Assignment</w:t>
      </w:r>
      <w:r w:rsidR="001C77DF">
        <w:rPr>
          <w:rFonts w:ascii="Times New Roman" w:eastAsia="MS Mincho" w:hAnsi="Times New Roman" w:cs="Times New Roman"/>
          <w:sz w:val="24"/>
          <w:szCs w:val="22"/>
        </w:rPr>
        <w:t xml:space="preserve"> (masters students only)</w:t>
      </w:r>
    </w:p>
    <w:p w14:paraId="76AB079B" w14:textId="6272832D" w:rsidR="001C77DF" w:rsidRPr="006A76E2" w:rsidRDefault="001C77DF"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Term paper (PhD students only)</w:t>
      </w:r>
    </w:p>
    <w:p w14:paraId="6639A97F" w14:textId="079A5DDE" w:rsidR="00E21FD1" w:rsidRDefault="00E21FD1" w:rsidP="00E21FD1">
      <w:pPr>
        <w:pStyle w:val="PlainText"/>
        <w:tabs>
          <w:tab w:val="left" w:pos="360"/>
        </w:tabs>
        <w:ind w:hanging="630"/>
        <w:rPr>
          <w:rFonts w:ascii="Times New Roman" w:eastAsia="MS Mincho" w:hAnsi="Times New Roman" w:cs="Times New Roman"/>
          <w:sz w:val="24"/>
          <w:szCs w:val="22"/>
        </w:rPr>
      </w:pPr>
    </w:p>
    <w:p w14:paraId="1CFE167E" w14:textId="6B687850" w:rsidR="00AA694A" w:rsidRPr="006A76E2" w:rsidRDefault="00AA694A" w:rsidP="00AA694A">
      <w:pPr>
        <w:pStyle w:val="PlainText"/>
        <w:tabs>
          <w:tab w:val="left" w:pos="360"/>
        </w:tabs>
        <w:rPr>
          <w:rFonts w:ascii="Times New Roman" w:eastAsia="MS Mincho" w:hAnsi="Times New Roman" w:cs="Times New Roman"/>
          <w:sz w:val="24"/>
          <w:szCs w:val="22"/>
        </w:rPr>
      </w:pPr>
      <w:r>
        <w:rPr>
          <w:rFonts w:ascii="Times New Roman" w:eastAsia="MS Mincho" w:hAnsi="Times New Roman" w:cs="Times New Roman"/>
          <w:sz w:val="24"/>
          <w:szCs w:val="22"/>
          <w:u w:val="single"/>
        </w:rPr>
        <w:t>Class</w:t>
      </w:r>
      <w:r w:rsidRPr="006A76E2">
        <w:rPr>
          <w:rFonts w:ascii="Times New Roman" w:eastAsia="MS Mincho" w:hAnsi="Times New Roman" w:cs="Times New Roman"/>
          <w:sz w:val="24"/>
          <w:szCs w:val="22"/>
          <w:u w:val="single"/>
        </w:rPr>
        <w:t xml:space="preserve"> </w:t>
      </w:r>
      <w:r>
        <w:rPr>
          <w:rFonts w:ascii="Times New Roman" w:eastAsia="MS Mincho" w:hAnsi="Times New Roman" w:cs="Times New Roman"/>
          <w:sz w:val="24"/>
          <w:szCs w:val="22"/>
          <w:u w:val="single"/>
        </w:rPr>
        <w:t>P</w:t>
      </w:r>
      <w:r w:rsidRPr="006A76E2">
        <w:rPr>
          <w:rFonts w:ascii="Times New Roman" w:eastAsia="MS Mincho" w:hAnsi="Times New Roman" w:cs="Times New Roman"/>
          <w:sz w:val="24"/>
          <w:szCs w:val="22"/>
          <w:u w:val="single"/>
        </w:rPr>
        <w:t>articipation</w:t>
      </w:r>
      <w:r w:rsidRPr="006A76E2">
        <w:rPr>
          <w:rFonts w:ascii="Times New Roman" w:eastAsia="MS Mincho" w:hAnsi="Times New Roman" w:cs="Times New Roman"/>
          <w:sz w:val="24"/>
          <w:szCs w:val="22"/>
        </w:rPr>
        <w:t xml:space="preserve">:  Students who are not present </w:t>
      </w:r>
      <w:proofErr w:type="gramStart"/>
      <w:r w:rsidRPr="006A76E2">
        <w:rPr>
          <w:rFonts w:ascii="Times New Roman" w:eastAsia="MS Mincho" w:hAnsi="Times New Roman" w:cs="Times New Roman"/>
          <w:sz w:val="24"/>
          <w:szCs w:val="22"/>
        </w:rPr>
        <w:t>by definition cannot</w:t>
      </w:r>
      <w:proofErr w:type="gramEnd"/>
      <w:r w:rsidRPr="006A76E2">
        <w:rPr>
          <w:rFonts w:ascii="Times New Roman" w:eastAsia="MS Mincho" w:hAnsi="Times New Roman" w:cs="Times New Roman"/>
          <w:sz w:val="24"/>
          <w:szCs w:val="22"/>
        </w:rPr>
        <w:t xml:space="preserve"> participate.  Accordingly, </w:t>
      </w:r>
      <w:r w:rsidR="005823C8">
        <w:rPr>
          <w:rFonts w:ascii="Times New Roman" w:eastAsia="MS Mincho" w:hAnsi="Times New Roman" w:cs="Times New Roman"/>
          <w:sz w:val="24"/>
          <w:szCs w:val="22"/>
        </w:rPr>
        <w:t xml:space="preserve">participation accounts for engagement with class discussion and </w:t>
      </w:r>
      <w:r w:rsidR="00063757">
        <w:rPr>
          <w:rFonts w:ascii="Times New Roman" w:eastAsia="MS Mincho" w:hAnsi="Times New Roman" w:cs="Times New Roman"/>
          <w:sz w:val="24"/>
          <w:szCs w:val="22"/>
        </w:rPr>
        <w:t>activities</w:t>
      </w:r>
      <w:r w:rsidR="005823C8">
        <w:rPr>
          <w:rFonts w:ascii="Times New Roman" w:eastAsia="MS Mincho" w:hAnsi="Times New Roman" w:cs="Times New Roman"/>
          <w:sz w:val="24"/>
          <w:szCs w:val="22"/>
        </w:rPr>
        <w:t xml:space="preserve"> as well as attendance </w:t>
      </w:r>
      <w:r w:rsidR="00063757">
        <w:rPr>
          <w:rFonts w:ascii="Times New Roman" w:eastAsia="MS Mincho" w:hAnsi="Times New Roman" w:cs="Times New Roman"/>
          <w:sz w:val="24"/>
          <w:szCs w:val="22"/>
        </w:rPr>
        <w:t xml:space="preserve">of class on a regular basis. </w:t>
      </w:r>
    </w:p>
    <w:p w14:paraId="480FB0CA" w14:textId="77777777" w:rsidR="00AA694A" w:rsidRDefault="00AA694A" w:rsidP="00E21FD1">
      <w:pPr>
        <w:pStyle w:val="PlainText"/>
        <w:tabs>
          <w:tab w:val="left" w:pos="360"/>
        </w:tabs>
        <w:ind w:hanging="630"/>
        <w:rPr>
          <w:rFonts w:ascii="Times New Roman" w:eastAsia="MS Mincho" w:hAnsi="Times New Roman" w:cs="Times New Roman"/>
          <w:sz w:val="24"/>
          <w:szCs w:val="22"/>
        </w:rPr>
      </w:pPr>
    </w:p>
    <w:p w14:paraId="573080AE" w14:textId="09C4ADA7" w:rsidR="00CD25CD" w:rsidRPr="00934689" w:rsidRDefault="00982A38" w:rsidP="00CD25CD">
      <w:pPr>
        <w:pStyle w:val="PlainText"/>
        <w:rPr>
          <w:rFonts w:ascii="Times New Roman" w:eastAsia="MS Mincho" w:hAnsi="Times New Roman" w:cs="Times New Roman"/>
          <w:sz w:val="24"/>
          <w:szCs w:val="24"/>
        </w:rPr>
      </w:pPr>
      <w:r w:rsidRPr="00934689">
        <w:rPr>
          <w:rFonts w:ascii="Times New Roman" w:eastAsia="MS Mincho" w:hAnsi="Times New Roman" w:cs="Times New Roman"/>
          <w:sz w:val="24"/>
          <w:szCs w:val="24"/>
          <w:u w:val="single"/>
        </w:rPr>
        <w:t xml:space="preserve">Written </w:t>
      </w:r>
      <w:r>
        <w:rPr>
          <w:rFonts w:ascii="Times New Roman" w:eastAsia="MS Mincho" w:hAnsi="Times New Roman" w:cs="Times New Roman"/>
          <w:sz w:val="24"/>
          <w:szCs w:val="24"/>
          <w:u w:val="single"/>
        </w:rPr>
        <w:t>Reaction Papers</w:t>
      </w:r>
      <w:r w:rsidRPr="00934689">
        <w:rPr>
          <w:rFonts w:ascii="Times New Roman" w:eastAsia="MS Mincho" w:hAnsi="Times New Roman" w:cs="Times New Roman"/>
          <w:sz w:val="24"/>
          <w:szCs w:val="24"/>
        </w:rPr>
        <w:t xml:space="preserve">: Each week, students must submit a 1-page single spaced reaction paper </w:t>
      </w:r>
      <w:r w:rsidR="00151610">
        <w:rPr>
          <w:rFonts w:ascii="Times New Roman" w:eastAsia="MS Mincho" w:hAnsi="Times New Roman" w:cs="Times New Roman"/>
          <w:sz w:val="24"/>
          <w:szCs w:val="24"/>
        </w:rPr>
        <w:t>to Canvas</w:t>
      </w:r>
      <w:r w:rsidRPr="00934689">
        <w:rPr>
          <w:rFonts w:ascii="Times New Roman" w:eastAsia="MS Mincho" w:hAnsi="Times New Roman" w:cs="Times New Roman"/>
          <w:sz w:val="24"/>
          <w:szCs w:val="24"/>
        </w:rPr>
        <w:t xml:space="preserve"> reacting to what they learned </w:t>
      </w:r>
      <w:r w:rsidR="00784C70">
        <w:rPr>
          <w:rFonts w:ascii="Times New Roman" w:eastAsia="MS Mincho" w:hAnsi="Times New Roman" w:cs="Times New Roman"/>
          <w:sz w:val="24"/>
          <w:szCs w:val="24"/>
        </w:rPr>
        <w:t>from class and readings that week</w:t>
      </w:r>
      <w:r w:rsidRPr="00934689">
        <w:rPr>
          <w:rFonts w:ascii="Times New Roman" w:eastAsia="MS Mincho" w:hAnsi="Times New Roman" w:cs="Times New Roman"/>
          <w:sz w:val="24"/>
          <w:szCs w:val="24"/>
        </w:rPr>
        <w:t xml:space="preserve">. These </w:t>
      </w:r>
      <w:r w:rsidRPr="00982A38">
        <w:rPr>
          <w:rFonts w:ascii="Times New Roman" w:eastAsia="MS Mincho" w:hAnsi="Times New Roman" w:cs="Times New Roman"/>
          <w:sz w:val="24"/>
          <w:szCs w:val="24"/>
        </w:rPr>
        <w:t xml:space="preserve">written assignments will be due </w:t>
      </w:r>
      <w:r w:rsidR="00784C70">
        <w:rPr>
          <w:rFonts w:ascii="Times New Roman" w:eastAsia="MS Mincho" w:hAnsi="Times New Roman" w:cs="Times New Roman"/>
          <w:sz w:val="24"/>
          <w:szCs w:val="24"/>
        </w:rPr>
        <w:t xml:space="preserve">every Friday by 5pm </w:t>
      </w:r>
      <w:r w:rsidR="00E83406">
        <w:rPr>
          <w:rFonts w:ascii="Times New Roman" w:eastAsia="MS Mincho" w:hAnsi="Times New Roman" w:cs="Times New Roman"/>
          <w:sz w:val="24"/>
          <w:szCs w:val="24"/>
        </w:rPr>
        <w:t xml:space="preserve">and will focus on the lecture content and associated readings for that </w:t>
      </w:r>
      <w:proofErr w:type="gramStart"/>
      <w:r w:rsidR="00E83406">
        <w:rPr>
          <w:rFonts w:ascii="Times New Roman" w:eastAsia="MS Mincho" w:hAnsi="Times New Roman" w:cs="Times New Roman"/>
          <w:sz w:val="24"/>
          <w:szCs w:val="24"/>
        </w:rPr>
        <w:t xml:space="preserve">particular </w:t>
      </w:r>
      <w:r w:rsidR="00C570BD">
        <w:rPr>
          <w:rFonts w:ascii="Times New Roman" w:eastAsia="MS Mincho" w:hAnsi="Times New Roman" w:cs="Times New Roman"/>
          <w:sz w:val="24"/>
          <w:szCs w:val="24"/>
        </w:rPr>
        <w:t>week</w:t>
      </w:r>
      <w:proofErr w:type="gramEnd"/>
      <w:r w:rsidR="00E83406">
        <w:rPr>
          <w:rFonts w:ascii="Times New Roman" w:eastAsia="MS Mincho" w:hAnsi="Times New Roman" w:cs="Times New Roman"/>
          <w:sz w:val="24"/>
          <w:szCs w:val="24"/>
        </w:rPr>
        <w:t xml:space="preserve">. </w:t>
      </w:r>
      <w:r w:rsidRPr="00934689">
        <w:rPr>
          <w:rFonts w:ascii="Times New Roman" w:eastAsia="MS Mincho" w:hAnsi="Times New Roman" w:cs="Times New Roman"/>
          <w:sz w:val="24"/>
          <w:szCs w:val="24"/>
        </w:rPr>
        <w:t xml:space="preserve"> </w:t>
      </w:r>
    </w:p>
    <w:p w14:paraId="4655732E" w14:textId="77777777" w:rsidR="00CD25CD" w:rsidRDefault="00CD25CD" w:rsidP="00E21FD1">
      <w:pPr>
        <w:pStyle w:val="PlainText"/>
        <w:tabs>
          <w:tab w:val="left" w:pos="360"/>
        </w:tabs>
        <w:ind w:hanging="630"/>
        <w:rPr>
          <w:rFonts w:ascii="Times New Roman" w:eastAsia="MS Mincho" w:hAnsi="Times New Roman" w:cs="Times New Roman"/>
          <w:sz w:val="24"/>
          <w:szCs w:val="22"/>
        </w:rPr>
      </w:pPr>
    </w:p>
    <w:p w14:paraId="4D286B64" w14:textId="06A6E02A" w:rsidR="00E21FD1" w:rsidRPr="006A76E2" w:rsidRDefault="00D9509C" w:rsidP="00E21FD1">
      <w:pPr>
        <w:pStyle w:val="PlainText"/>
        <w:tabs>
          <w:tab w:val="left" w:pos="360"/>
        </w:tabs>
        <w:rPr>
          <w:rFonts w:ascii="Times New Roman" w:eastAsia="MS Mincho" w:hAnsi="Times New Roman" w:cs="Times New Roman"/>
          <w:sz w:val="24"/>
          <w:szCs w:val="22"/>
        </w:rPr>
      </w:pPr>
      <w:r>
        <w:rPr>
          <w:rFonts w:ascii="Times New Roman" w:eastAsia="MS Mincho" w:hAnsi="Times New Roman" w:cs="Times New Roman"/>
          <w:sz w:val="24"/>
          <w:szCs w:val="22"/>
          <w:u w:val="single"/>
        </w:rPr>
        <w:t>Midterm</w:t>
      </w:r>
      <w:r w:rsidR="00E21FD1" w:rsidRPr="006A76E2">
        <w:rPr>
          <w:rFonts w:ascii="Times New Roman" w:eastAsia="MS Mincho" w:hAnsi="Times New Roman" w:cs="Times New Roman"/>
          <w:sz w:val="24"/>
          <w:szCs w:val="22"/>
        </w:rPr>
        <w:t xml:space="preserve">:  Students </w:t>
      </w:r>
      <w:r>
        <w:rPr>
          <w:rFonts w:ascii="Times New Roman" w:eastAsia="MS Mincho" w:hAnsi="Times New Roman" w:cs="Times New Roman"/>
          <w:sz w:val="24"/>
          <w:szCs w:val="22"/>
        </w:rPr>
        <w:t xml:space="preserve">will have an </w:t>
      </w:r>
      <w:r w:rsidRPr="00FA52EB">
        <w:rPr>
          <w:rFonts w:ascii="Times New Roman" w:eastAsia="MS Mincho" w:hAnsi="Times New Roman" w:cs="Times New Roman"/>
          <w:b/>
          <w:bCs/>
          <w:sz w:val="24"/>
          <w:szCs w:val="22"/>
        </w:rPr>
        <w:t>in-class</w:t>
      </w:r>
      <w:r>
        <w:rPr>
          <w:rFonts w:ascii="Times New Roman" w:eastAsia="MS Mincho" w:hAnsi="Times New Roman" w:cs="Times New Roman"/>
          <w:sz w:val="24"/>
          <w:szCs w:val="22"/>
        </w:rPr>
        <w:t xml:space="preserve"> </w:t>
      </w:r>
      <w:r w:rsidR="004160E3">
        <w:rPr>
          <w:rFonts w:ascii="Times New Roman" w:eastAsia="MS Mincho" w:hAnsi="Times New Roman" w:cs="Times New Roman"/>
          <w:sz w:val="24"/>
          <w:szCs w:val="22"/>
        </w:rPr>
        <w:t xml:space="preserve">midterm exam given through exemplify on March </w:t>
      </w:r>
      <w:r w:rsidR="00C570BD">
        <w:rPr>
          <w:rFonts w:ascii="Times New Roman" w:eastAsia="MS Mincho" w:hAnsi="Times New Roman" w:cs="Times New Roman"/>
          <w:sz w:val="24"/>
          <w:szCs w:val="22"/>
        </w:rPr>
        <w:t>9</w:t>
      </w:r>
      <w:r w:rsidR="004160E3">
        <w:rPr>
          <w:rFonts w:ascii="Times New Roman" w:eastAsia="MS Mincho" w:hAnsi="Times New Roman" w:cs="Times New Roman"/>
          <w:sz w:val="24"/>
          <w:szCs w:val="22"/>
        </w:rPr>
        <w:t xml:space="preserve">, 2022. The exam will cover all material from the first half of the course and include both short answer and essay sections. </w:t>
      </w:r>
    </w:p>
    <w:p w14:paraId="22ACB7A4" w14:textId="4FDBEA97" w:rsidR="00E21FD1" w:rsidRDefault="00E21FD1" w:rsidP="00E21FD1">
      <w:pPr>
        <w:pStyle w:val="PlainText"/>
        <w:rPr>
          <w:rFonts w:ascii="Times New Roman" w:eastAsia="MS Mincho" w:hAnsi="Times New Roman" w:cs="Times New Roman"/>
          <w:sz w:val="24"/>
          <w:szCs w:val="22"/>
        </w:rPr>
      </w:pPr>
    </w:p>
    <w:p w14:paraId="42C38E3A" w14:textId="6D0F4109" w:rsidR="00E21FD1" w:rsidRDefault="00606E60" w:rsidP="00E21FD1">
      <w:pPr>
        <w:pStyle w:val="PlainText"/>
        <w:tabs>
          <w:tab w:val="left" w:pos="360"/>
        </w:tabs>
        <w:rPr>
          <w:rFonts w:ascii="Times New Roman" w:eastAsia="MS Mincho" w:hAnsi="Times New Roman" w:cs="Times New Roman"/>
          <w:sz w:val="24"/>
          <w:szCs w:val="22"/>
        </w:rPr>
      </w:pPr>
      <w:r w:rsidRPr="00606E60">
        <w:rPr>
          <w:rFonts w:ascii="Times New Roman" w:eastAsia="MS Mincho" w:hAnsi="Times New Roman" w:cs="Times New Roman"/>
          <w:sz w:val="24"/>
          <w:szCs w:val="22"/>
          <w:u w:val="single"/>
        </w:rPr>
        <w:t>Political Strategy Memo</w:t>
      </w:r>
      <w:r w:rsidR="00B7656C" w:rsidRPr="00606E60">
        <w:rPr>
          <w:rFonts w:ascii="Times New Roman" w:eastAsia="MS Mincho" w:hAnsi="Times New Roman" w:cs="Times New Roman"/>
          <w:sz w:val="24"/>
          <w:szCs w:val="22"/>
          <w:u w:val="single"/>
        </w:rPr>
        <w:t xml:space="preserve"> Assignment</w:t>
      </w:r>
      <w:r w:rsidR="00E21FD1" w:rsidRPr="00606E60">
        <w:rPr>
          <w:rFonts w:ascii="Times New Roman" w:eastAsia="MS Mincho" w:hAnsi="Times New Roman" w:cs="Times New Roman"/>
          <w:sz w:val="24"/>
          <w:szCs w:val="22"/>
        </w:rPr>
        <w:t>:</w:t>
      </w:r>
      <w:r w:rsidR="00E21FD1" w:rsidRPr="006A76E2">
        <w:rPr>
          <w:rFonts w:ascii="Times New Roman" w:eastAsia="MS Mincho" w:hAnsi="Times New Roman" w:cs="Times New Roman"/>
          <w:sz w:val="24"/>
          <w:szCs w:val="22"/>
        </w:rPr>
        <w:t xml:space="preserve">  </w:t>
      </w:r>
      <w:r w:rsidR="00063757">
        <w:rPr>
          <w:rFonts w:ascii="Times New Roman" w:eastAsia="MS Mincho" w:hAnsi="Times New Roman" w:cs="Times New Roman"/>
          <w:sz w:val="24"/>
          <w:szCs w:val="22"/>
        </w:rPr>
        <w:t>Masters s</w:t>
      </w:r>
      <w:r w:rsidRPr="00606E60">
        <w:rPr>
          <w:rFonts w:ascii="Times New Roman" w:eastAsia="MS Mincho" w:hAnsi="Times New Roman" w:cs="Times New Roman"/>
          <w:sz w:val="24"/>
          <w:szCs w:val="24"/>
        </w:rPr>
        <w:t xml:space="preserve">tudents will complete a political strategy memo designed to help a new politician develop their position on Medicaid expansion in Texas. The written memo </w:t>
      </w:r>
      <w:r w:rsidR="00B7656C" w:rsidRPr="00606E60">
        <w:rPr>
          <w:rFonts w:ascii="Times New Roman" w:hAnsi="Times New Roman" w:cs="Times New Roman"/>
          <w:sz w:val="24"/>
          <w:szCs w:val="24"/>
        </w:rPr>
        <w:t xml:space="preserve">will be due on </w:t>
      </w:r>
      <w:r w:rsidR="0032429D" w:rsidRPr="00606E60">
        <w:rPr>
          <w:rFonts w:ascii="Times New Roman" w:hAnsi="Times New Roman" w:cs="Times New Roman"/>
          <w:sz w:val="24"/>
          <w:szCs w:val="24"/>
        </w:rPr>
        <w:t>May 2</w:t>
      </w:r>
      <w:r w:rsidR="0032429D" w:rsidRPr="00606E60">
        <w:rPr>
          <w:rFonts w:ascii="Times New Roman" w:hAnsi="Times New Roman" w:cs="Times New Roman"/>
          <w:sz w:val="24"/>
          <w:szCs w:val="24"/>
          <w:vertAlign w:val="superscript"/>
        </w:rPr>
        <w:t>nd</w:t>
      </w:r>
      <w:r w:rsidR="00695ABB" w:rsidRPr="00606E60">
        <w:rPr>
          <w:rFonts w:ascii="Times New Roman" w:hAnsi="Times New Roman" w:cs="Times New Roman"/>
          <w:sz w:val="24"/>
          <w:szCs w:val="24"/>
        </w:rPr>
        <w:t>.</w:t>
      </w:r>
      <w:r w:rsidR="00695ABB">
        <w:rPr>
          <w:rFonts w:ascii="Times New Roman" w:hAnsi="Times New Roman" w:cs="Times New Roman"/>
          <w:sz w:val="22"/>
          <w:szCs w:val="22"/>
        </w:rPr>
        <w:t xml:space="preserve"> </w:t>
      </w:r>
    </w:p>
    <w:p w14:paraId="7F45EE69" w14:textId="7DE5641D" w:rsidR="001974B9" w:rsidRDefault="001974B9" w:rsidP="00E21FD1">
      <w:pPr>
        <w:pStyle w:val="PlainText"/>
        <w:tabs>
          <w:tab w:val="left" w:pos="360"/>
        </w:tabs>
        <w:rPr>
          <w:rFonts w:ascii="Times New Roman" w:eastAsia="MS Mincho" w:hAnsi="Times New Roman" w:cs="Times New Roman"/>
          <w:sz w:val="24"/>
          <w:szCs w:val="22"/>
        </w:rPr>
      </w:pPr>
    </w:p>
    <w:p w14:paraId="38D79CE4" w14:textId="1FD4F467" w:rsidR="00D05B6F" w:rsidRPr="00D05B6F" w:rsidRDefault="00D05B6F" w:rsidP="00D05B6F">
      <w:pPr>
        <w:pStyle w:val="PlainText"/>
        <w:tabs>
          <w:tab w:val="left" w:pos="360"/>
        </w:tabs>
        <w:rPr>
          <w:rFonts w:ascii="Times New Roman" w:eastAsia="MS Mincho" w:hAnsi="Times New Roman" w:cs="Times New Roman"/>
          <w:sz w:val="24"/>
          <w:szCs w:val="24"/>
        </w:rPr>
      </w:pPr>
      <w:r w:rsidRPr="00D05B6F">
        <w:rPr>
          <w:rFonts w:ascii="Times New Roman" w:eastAsia="MS Mincho" w:hAnsi="Times New Roman" w:cs="Times New Roman"/>
          <w:sz w:val="24"/>
          <w:szCs w:val="24"/>
          <w:u w:val="single"/>
        </w:rPr>
        <w:t>PhD Term Paper:</w:t>
      </w:r>
      <w:r w:rsidRPr="00D05B6F">
        <w:rPr>
          <w:rFonts w:ascii="Times New Roman" w:eastAsia="MS Mincho" w:hAnsi="Times New Roman" w:cs="Times New Roman"/>
          <w:sz w:val="24"/>
          <w:szCs w:val="24"/>
        </w:rPr>
        <w:t xml:space="preserve"> </w:t>
      </w:r>
      <w:r w:rsidRPr="00D05B6F">
        <w:rPr>
          <w:rFonts w:ascii="Times New Roman" w:hAnsi="Times New Roman" w:cs="Times New Roman"/>
          <w:sz w:val="24"/>
          <w:szCs w:val="24"/>
        </w:rPr>
        <w:t xml:space="preserve">While masters students will </w:t>
      </w:r>
      <w:r>
        <w:rPr>
          <w:rFonts w:ascii="Times New Roman" w:hAnsi="Times New Roman" w:cs="Times New Roman"/>
          <w:sz w:val="24"/>
          <w:szCs w:val="24"/>
        </w:rPr>
        <w:t>complete the political strategy memo</w:t>
      </w:r>
      <w:r w:rsidRPr="00D05B6F">
        <w:rPr>
          <w:rFonts w:ascii="Times New Roman" w:hAnsi="Times New Roman" w:cs="Times New Roman"/>
          <w:sz w:val="24"/>
          <w:szCs w:val="24"/>
        </w:rPr>
        <w:t xml:space="preserve">, PhD students will instead complete a term paper. This term paper should be 15 pages double spaced and is due to Dr. Callaghan on </w:t>
      </w:r>
      <w:r w:rsidR="001C77DF">
        <w:rPr>
          <w:rFonts w:ascii="Times New Roman" w:hAnsi="Times New Roman" w:cs="Times New Roman"/>
          <w:sz w:val="24"/>
          <w:szCs w:val="24"/>
        </w:rPr>
        <w:t>May</w:t>
      </w:r>
      <w:r w:rsidRPr="00D05B6F">
        <w:rPr>
          <w:rFonts w:ascii="Times New Roman" w:hAnsi="Times New Roman" w:cs="Times New Roman"/>
          <w:sz w:val="24"/>
          <w:szCs w:val="24"/>
        </w:rPr>
        <w:t xml:space="preserve"> 2</w:t>
      </w:r>
      <w:r w:rsidRPr="00D05B6F">
        <w:rPr>
          <w:rFonts w:ascii="Times New Roman" w:hAnsi="Times New Roman" w:cs="Times New Roman"/>
          <w:sz w:val="24"/>
          <w:szCs w:val="24"/>
          <w:vertAlign w:val="superscript"/>
        </w:rPr>
        <w:t>nd</w:t>
      </w:r>
      <w:r w:rsidRPr="00D05B6F">
        <w:rPr>
          <w:rFonts w:ascii="Times New Roman" w:hAnsi="Times New Roman" w:cs="Times New Roman"/>
          <w:sz w:val="24"/>
          <w:szCs w:val="24"/>
        </w:rPr>
        <w:t xml:space="preserve"> at 5PM. Place a hard copy in my mailbox and email a second copy as well. Late papers will only be accepted under extraordinary circumstances. There are two options for the paper:</w:t>
      </w:r>
    </w:p>
    <w:p w14:paraId="2637A51A" w14:textId="32E01812" w:rsidR="00D05B6F" w:rsidRPr="00D05B6F" w:rsidRDefault="00D05B6F" w:rsidP="00D05B6F">
      <w:pPr>
        <w:pStyle w:val="NoSpacing"/>
        <w:numPr>
          <w:ilvl w:val="0"/>
          <w:numId w:val="17"/>
        </w:numPr>
        <w:spacing w:before="0"/>
        <w:rPr>
          <w:rFonts w:ascii="Times New Roman" w:hAnsi="Times New Roman" w:cs="Times New Roman"/>
          <w:sz w:val="24"/>
          <w:szCs w:val="24"/>
        </w:rPr>
      </w:pPr>
      <w:r w:rsidRPr="00D05B6F">
        <w:rPr>
          <w:rFonts w:ascii="Times New Roman" w:hAnsi="Times New Roman" w:cs="Times New Roman"/>
          <w:sz w:val="24"/>
          <w:szCs w:val="24"/>
        </w:rPr>
        <w:t xml:space="preserve">Research Design: Specify a research question </w:t>
      </w:r>
      <w:proofErr w:type="gramStart"/>
      <w:r w:rsidRPr="00D05B6F">
        <w:rPr>
          <w:rFonts w:ascii="Times New Roman" w:hAnsi="Times New Roman" w:cs="Times New Roman"/>
          <w:sz w:val="24"/>
          <w:szCs w:val="24"/>
        </w:rPr>
        <w:t>in the area of</w:t>
      </w:r>
      <w:proofErr w:type="gramEnd"/>
      <w:r w:rsidRPr="00D05B6F">
        <w:rPr>
          <w:rFonts w:ascii="Times New Roman" w:hAnsi="Times New Roman" w:cs="Times New Roman"/>
          <w:sz w:val="24"/>
          <w:szCs w:val="24"/>
        </w:rPr>
        <w:t xml:space="preserve"> health </w:t>
      </w:r>
      <w:r w:rsidR="001C77DF">
        <w:rPr>
          <w:rFonts w:ascii="Times New Roman" w:hAnsi="Times New Roman" w:cs="Times New Roman"/>
          <w:sz w:val="24"/>
          <w:szCs w:val="24"/>
        </w:rPr>
        <w:t>policy</w:t>
      </w:r>
      <w:r w:rsidRPr="00D05B6F">
        <w:rPr>
          <w:rFonts w:ascii="Times New Roman" w:hAnsi="Times New Roman" w:cs="Times New Roman"/>
          <w:sz w:val="24"/>
          <w:szCs w:val="24"/>
        </w:rPr>
        <w:t xml:space="preserve"> or set of questions that you would like to examine and then develop a research plan that will allow you to answer it. The paper must (1): describe the research question and explain why it is important, (2) review the relevant literature and explain how your study contributes to it, (3) define the concepts, develop a theoretical framework, and derive testable hypotheses from this framework, (4) describe the data you plan to collect and how the key concepts will be measured, and (5) explain how you plan to analyze the data. Ideally, this paper will serve as the template for a subsequent research paper conducted outside of the class with the </w:t>
      </w:r>
      <w:proofErr w:type="gramStart"/>
      <w:r w:rsidRPr="00D05B6F">
        <w:rPr>
          <w:rFonts w:ascii="Times New Roman" w:hAnsi="Times New Roman" w:cs="Times New Roman"/>
          <w:sz w:val="24"/>
          <w:szCs w:val="24"/>
        </w:rPr>
        <w:t>ultimate goal</w:t>
      </w:r>
      <w:proofErr w:type="gramEnd"/>
      <w:r w:rsidRPr="00D05B6F">
        <w:rPr>
          <w:rFonts w:ascii="Times New Roman" w:hAnsi="Times New Roman" w:cs="Times New Roman"/>
          <w:sz w:val="24"/>
          <w:szCs w:val="24"/>
        </w:rPr>
        <w:t xml:space="preserve"> being a conference paper and/or a submission to a journal.</w:t>
      </w:r>
    </w:p>
    <w:p w14:paraId="3FC595FC" w14:textId="77777777" w:rsidR="00D05B6F" w:rsidRPr="00D05B6F" w:rsidRDefault="00D05B6F" w:rsidP="00D05B6F">
      <w:pPr>
        <w:pStyle w:val="NoSpacing"/>
        <w:rPr>
          <w:rFonts w:ascii="Times New Roman" w:hAnsi="Times New Roman" w:cs="Times New Roman"/>
          <w:sz w:val="24"/>
          <w:szCs w:val="24"/>
        </w:rPr>
      </w:pPr>
    </w:p>
    <w:p w14:paraId="1A17BF96" w14:textId="0D1E60AF" w:rsidR="00D05B6F" w:rsidRPr="00D05B6F" w:rsidRDefault="00D05B6F" w:rsidP="00D05B6F">
      <w:pPr>
        <w:pStyle w:val="NoSpacing"/>
        <w:numPr>
          <w:ilvl w:val="0"/>
          <w:numId w:val="17"/>
        </w:numPr>
        <w:spacing w:before="0"/>
        <w:rPr>
          <w:rFonts w:ascii="Times New Roman" w:hAnsi="Times New Roman" w:cs="Times New Roman"/>
          <w:sz w:val="24"/>
          <w:szCs w:val="24"/>
        </w:rPr>
      </w:pPr>
      <w:r w:rsidRPr="00D05B6F">
        <w:rPr>
          <w:rFonts w:ascii="Times New Roman" w:hAnsi="Times New Roman" w:cs="Times New Roman"/>
          <w:sz w:val="24"/>
          <w:szCs w:val="24"/>
        </w:rPr>
        <w:t xml:space="preserve">Research Paper: Specify a research question or set of questions </w:t>
      </w:r>
      <w:proofErr w:type="gramStart"/>
      <w:r w:rsidRPr="00D05B6F">
        <w:rPr>
          <w:rFonts w:ascii="Times New Roman" w:hAnsi="Times New Roman" w:cs="Times New Roman"/>
          <w:sz w:val="24"/>
          <w:szCs w:val="24"/>
        </w:rPr>
        <w:t>in the area of</w:t>
      </w:r>
      <w:proofErr w:type="gramEnd"/>
      <w:r w:rsidRPr="00D05B6F">
        <w:rPr>
          <w:rFonts w:ascii="Times New Roman" w:hAnsi="Times New Roman" w:cs="Times New Roman"/>
          <w:sz w:val="24"/>
          <w:szCs w:val="24"/>
        </w:rPr>
        <w:t xml:space="preserve"> health </w:t>
      </w:r>
      <w:r w:rsidR="001C77DF">
        <w:rPr>
          <w:rFonts w:ascii="Times New Roman" w:hAnsi="Times New Roman" w:cs="Times New Roman"/>
          <w:sz w:val="24"/>
          <w:szCs w:val="24"/>
        </w:rPr>
        <w:t>policy</w:t>
      </w:r>
      <w:r w:rsidRPr="00D05B6F">
        <w:rPr>
          <w:rFonts w:ascii="Times New Roman" w:hAnsi="Times New Roman" w:cs="Times New Roman"/>
          <w:sz w:val="24"/>
          <w:szCs w:val="24"/>
        </w:rPr>
        <w:t xml:space="preserve"> that you would like to examine and then develop a research </w:t>
      </w:r>
      <w:r w:rsidR="001C77DF">
        <w:rPr>
          <w:rFonts w:ascii="Times New Roman" w:hAnsi="Times New Roman" w:cs="Times New Roman"/>
          <w:sz w:val="24"/>
          <w:szCs w:val="24"/>
        </w:rPr>
        <w:t>paper that allows</w:t>
      </w:r>
      <w:r w:rsidRPr="00D05B6F">
        <w:rPr>
          <w:rFonts w:ascii="Times New Roman" w:hAnsi="Times New Roman" w:cs="Times New Roman"/>
          <w:sz w:val="24"/>
          <w:szCs w:val="24"/>
        </w:rPr>
        <w:t xml:space="preserve"> you to answer it. The paper must (1): describe the research question and explain why it is important, (2) review the relevant literature and explain how your study contributes to it, (3) define the concepts, develop a theoretical framework, and derive testable hypotheses from this framework, (4) collect data and describe how the key concepts are measured, and (5) analyze these relationships using appropriate methods. Ideally, this paper will become a conference paper and/or a submission to a journal</w:t>
      </w:r>
      <w:r w:rsidR="001C77DF">
        <w:rPr>
          <w:rFonts w:ascii="Times New Roman" w:hAnsi="Times New Roman" w:cs="Times New Roman"/>
          <w:sz w:val="24"/>
          <w:szCs w:val="24"/>
        </w:rPr>
        <w:t xml:space="preserve"> and should be formatted like a submission to the Journal of Health Politics, Policy, and Law</w:t>
      </w:r>
      <w:r w:rsidRPr="00D05B6F">
        <w:rPr>
          <w:rFonts w:ascii="Times New Roman" w:hAnsi="Times New Roman" w:cs="Times New Roman"/>
          <w:sz w:val="24"/>
          <w:szCs w:val="24"/>
        </w:rPr>
        <w:t xml:space="preserve">. </w:t>
      </w:r>
    </w:p>
    <w:p w14:paraId="2D1CE852" w14:textId="116FE685" w:rsidR="00DA5179" w:rsidRPr="00934689" w:rsidRDefault="00DA5179" w:rsidP="00237F43">
      <w:pPr>
        <w:rPr>
          <w:rFonts w:cs="Times New Roman"/>
          <w:b/>
          <w:i/>
          <w:sz w:val="24"/>
          <w:szCs w:val="24"/>
        </w:rPr>
      </w:pPr>
      <w:r w:rsidRPr="00934689">
        <w:rPr>
          <w:rFonts w:cs="Times New Roman"/>
          <w:b/>
          <w:sz w:val="24"/>
          <w:szCs w:val="24"/>
        </w:rPr>
        <w:t xml:space="preserve">Grading Scale </w:t>
      </w:r>
      <w:r w:rsidRPr="00934689">
        <w:rPr>
          <w:rFonts w:cs="Times New Roman"/>
          <w:b/>
          <w:i/>
          <w:sz w:val="24"/>
          <w:szCs w:val="24"/>
        </w:rPr>
        <w:t>(Based on percentage of all points in class)</w:t>
      </w:r>
    </w:p>
    <w:p w14:paraId="490968A1" w14:textId="5E4447B4" w:rsidR="00DA5179" w:rsidRPr="00934689" w:rsidRDefault="001F550B" w:rsidP="00237F43">
      <w:pPr>
        <w:pStyle w:val="ListParagraph"/>
        <w:numPr>
          <w:ilvl w:val="0"/>
          <w:numId w:val="2"/>
        </w:numPr>
        <w:rPr>
          <w:sz w:val="24"/>
          <w:szCs w:val="24"/>
        </w:rPr>
      </w:pPr>
      <w:r w:rsidRPr="00934689">
        <w:rPr>
          <w:sz w:val="24"/>
          <w:szCs w:val="24"/>
        </w:rPr>
        <w:t>A = 90-100%</w:t>
      </w:r>
    </w:p>
    <w:p w14:paraId="08FFD656" w14:textId="12BA99E4" w:rsidR="00DA5179" w:rsidRPr="00934689" w:rsidRDefault="001F550B" w:rsidP="00237F43">
      <w:pPr>
        <w:pStyle w:val="ListParagraph"/>
        <w:numPr>
          <w:ilvl w:val="0"/>
          <w:numId w:val="2"/>
        </w:numPr>
        <w:rPr>
          <w:sz w:val="24"/>
          <w:szCs w:val="24"/>
        </w:rPr>
      </w:pPr>
      <w:r w:rsidRPr="00934689">
        <w:rPr>
          <w:sz w:val="24"/>
          <w:szCs w:val="24"/>
        </w:rPr>
        <w:t>B = 80-89%</w:t>
      </w:r>
    </w:p>
    <w:p w14:paraId="59CE5FA8" w14:textId="124AECB1" w:rsidR="00DA5179" w:rsidRPr="00934689" w:rsidRDefault="001F550B" w:rsidP="00237F43">
      <w:pPr>
        <w:pStyle w:val="ListParagraph"/>
        <w:numPr>
          <w:ilvl w:val="0"/>
          <w:numId w:val="2"/>
        </w:numPr>
        <w:rPr>
          <w:sz w:val="24"/>
          <w:szCs w:val="24"/>
        </w:rPr>
      </w:pPr>
      <w:r w:rsidRPr="00934689">
        <w:rPr>
          <w:sz w:val="24"/>
          <w:szCs w:val="24"/>
        </w:rPr>
        <w:t xml:space="preserve">C = </w:t>
      </w:r>
      <w:r w:rsidR="00DA5179" w:rsidRPr="00934689">
        <w:rPr>
          <w:sz w:val="24"/>
          <w:szCs w:val="24"/>
        </w:rPr>
        <w:t xml:space="preserve">70-79% </w:t>
      </w:r>
    </w:p>
    <w:p w14:paraId="0E00DFD2" w14:textId="039621C3" w:rsidR="00DA5179" w:rsidRPr="00934689" w:rsidRDefault="001F550B" w:rsidP="00DA5179">
      <w:pPr>
        <w:pStyle w:val="ListParagraph"/>
        <w:numPr>
          <w:ilvl w:val="0"/>
          <w:numId w:val="2"/>
        </w:numPr>
        <w:rPr>
          <w:sz w:val="24"/>
          <w:szCs w:val="24"/>
        </w:rPr>
      </w:pPr>
      <w:r w:rsidRPr="00934689">
        <w:rPr>
          <w:sz w:val="24"/>
          <w:szCs w:val="24"/>
        </w:rPr>
        <w:t xml:space="preserve">D = </w:t>
      </w:r>
      <w:r w:rsidR="00DA5179" w:rsidRPr="00934689">
        <w:rPr>
          <w:sz w:val="24"/>
          <w:szCs w:val="24"/>
        </w:rPr>
        <w:t>60-69%</w:t>
      </w:r>
    </w:p>
    <w:p w14:paraId="5474BE4D" w14:textId="34936AC9" w:rsidR="00DA5179" w:rsidRPr="00934689" w:rsidRDefault="001F550B" w:rsidP="00DA5179">
      <w:pPr>
        <w:pStyle w:val="ListParagraph"/>
        <w:numPr>
          <w:ilvl w:val="0"/>
          <w:numId w:val="2"/>
        </w:numPr>
        <w:rPr>
          <w:sz w:val="24"/>
          <w:szCs w:val="24"/>
        </w:rPr>
      </w:pPr>
      <w:proofErr w:type="gramStart"/>
      <w:r w:rsidRPr="00934689">
        <w:rPr>
          <w:rFonts w:eastAsia="Cambria"/>
          <w:iCs/>
          <w:sz w:val="24"/>
          <w:szCs w:val="24"/>
        </w:rPr>
        <w:t>F  =</w:t>
      </w:r>
      <w:proofErr w:type="gramEnd"/>
      <w:r w:rsidRPr="00934689">
        <w:rPr>
          <w:rFonts w:eastAsia="Cambria"/>
          <w:iCs/>
          <w:sz w:val="24"/>
          <w:szCs w:val="24"/>
        </w:rPr>
        <w:t xml:space="preserve"> </w:t>
      </w:r>
      <w:r w:rsidR="00DA5179" w:rsidRPr="00934689">
        <w:rPr>
          <w:rFonts w:eastAsia="Cambria"/>
          <w:iCs/>
          <w:sz w:val="24"/>
          <w:szCs w:val="24"/>
        </w:rPr>
        <w:t>≤ 60</w:t>
      </w:r>
      <w:r w:rsidR="00DA5179" w:rsidRPr="00934689">
        <w:rPr>
          <w:sz w:val="24"/>
          <w:szCs w:val="24"/>
        </w:rPr>
        <w:t>%</w:t>
      </w:r>
    </w:p>
    <w:p w14:paraId="16745F70" w14:textId="1C867DE2" w:rsidR="00934689" w:rsidRDefault="00934689" w:rsidP="00934689">
      <w:pPr>
        <w:rPr>
          <w:sz w:val="24"/>
          <w:szCs w:val="24"/>
        </w:rPr>
      </w:pPr>
      <w:r w:rsidRPr="00934689">
        <w:rPr>
          <w:sz w:val="24"/>
          <w:szCs w:val="24"/>
          <w:u w:val="single"/>
        </w:rPr>
        <w:t>Re</w:t>
      </w:r>
      <w:r w:rsidR="00042ED5">
        <w:rPr>
          <w:sz w:val="24"/>
          <w:szCs w:val="24"/>
          <w:u w:val="single"/>
        </w:rPr>
        <w:t>-</w:t>
      </w:r>
      <w:r w:rsidRPr="00934689">
        <w:rPr>
          <w:sz w:val="24"/>
          <w:szCs w:val="24"/>
          <w:u w:val="single"/>
        </w:rPr>
        <w:t xml:space="preserve">grading Policy: </w:t>
      </w:r>
      <w:r w:rsidRPr="00934689">
        <w:rPr>
          <w:sz w:val="24"/>
          <w:szCs w:val="24"/>
        </w:rPr>
        <w:t xml:space="preserve">If a student believes that an assignment has been graded incorrectly, they must notify Dr. Callaghan </w:t>
      </w:r>
      <w:r w:rsidR="00331B1B">
        <w:rPr>
          <w:sz w:val="24"/>
          <w:szCs w:val="24"/>
        </w:rPr>
        <w:t xml:space="preserve">via email </w:t>
      </w:r>
      <w:r w:rsidRPr="00934689">
        <w:rPr>
          <w:sz w:val="24"/>
          <w:szCs w:val="24"/>
        </w:rPr>
        <w:t>within one week of grades being posted. Dr. Callaghan will re-grade the entire assignment. If he determines that the assignment has been graded incorrectly, the grade will be updated. Please note that Dr. Callaghan will re-grade the entire assignment, not just the issue the student is reaching out about.</w:t>
      </w:r>
      <w:r w:rsidR="00331B1B">
        <w:rPr>
          <w:sz w:val="24"/>
          <w:szCs w:val="24"/>
        </w:rPr>
        <w:t xml:space="preserve"> As such, grades can go up, down, or remain unchanged.</w:t>
      </w:r>
      <w:r w:rsidRPr="00934689">
        <w:rPr>
          <w:sz w:val="24"/>
          <w:szCs w:val="24"/>
        </w:rPr>
        <w:t xml:space="preserve"> Reviews of previously graded materials will not be considered if </w:t>
      </w:r>
      <w:r w:rsidR="007E71D6">
        <w:rPr>
          <w:sz w:val="24"/>
          <w:szCs w:val="24"/>
        </w:rPr>
        <w:t>requested</w:t>
      </w:r>
      <w:r w:rsidRPr="00934689">
        <w:rPr>
          <w:sz w:val="24"/>
          <w:szCs w:val="24"/>
        </w:rPr>
        <w:t xml:space="preserve"> more than 7 days after students have received their grades. </w:t>
      </w:r>
    </w:p>
    <w:tbl>
      <w:tblPr>
        <w:tblStyle w:val="TableGrid"/>
        <w:tblW w:w="10866" w:type="dxa"/>
        <w:tblLook w:val="04A0" w:firstRow="1" w:lastRow="0" w:firstColumn="1" w:lastColumn="0" w:noHBand="0" w:noVBand="1"/>
      </w:tblPr>
      <w:tblGrid>
        <w:gridCol w:w="6060"/>
        <w:gridCol w:w="2403"/>
        <w:gridCol w:w="2403"/>
      </w:tblGrid>
      <w:tr w:rsidR="00BB1D4C" w:rsidRPr="00934689" w14:paraId="0D9AEA83" w14:textId="5110DEF4" w:rsidTr="00A36954">
        <w:trPr>
          <w:trHeight w:val="359"/>
        </w:trPr>
        <w:tc>
          <w:tcPr>
            <w:tcW w:w="6060" w:type="dxa"/>
            <w:tcBorders>
              <w:top w:val="single" w:sz="4" w:space="0" w:color="auto"/>
            </w:tcBorders>
            <w:shd w:val="clear" w:color="auto" w:fill="auto"/>
            <w:vAlign w:val="center"/>
          </w:tcPr>
          <w:p w14:paraId="6F4D7C92" w14:textId="2121060E" w:rsidR="00BB1D4C" w:rsidRPr="0090673B" w:rsidRDefault="00BB1D4C" w:rsidP="00BB1D4C">
            <w:pPr>
              <w:rPr>
                <w:rFonts w:cs="Times New Roman"/>
                <w:b/>
                <w:bCs/>
                <w:sz w:val="24"/>
                <w:szCs w:val="22"/>
              </w:rPr>
            </w:pPr>
            <w:r w:rsidRPr="0090673B">
              <w:rPr>
                <w:rFonts w:cs="Times New Roman"/>
                <w:b/>
                <w:bCs/>
                <w:sz w:val="24"/>
                <w:szCs w:val="22"/>
              </w:rPr>
              <w:t>Assignment/Assignment Type</w:t>
            </w:r>
          </w:p>
        </w:tc>
        <w:tc>
          <w:tcPr>
            <w:tcW w:w="2403" w:type="dxa"/>
            <w:tcBorders>
              <w:top w:val="single" w:sz="4" w:space="0" w:color="auto"/>
              <w:right w:val="single" w:sz="4" w:space="0" w:color="auto"/>
            </w:tcBorders>
            <w:shd w:val="clear" w:color="auto" w:fill="auto"/>
            <w:vAlign w:val="center"/>
          </w:tcPr>
          <w:p w14:paraId="0AB0DE1C" w14:textId="17D62060" w:rsidR="00BB1D4C" w:rsidRPr="0090673B" w:rsidRDefault="00BB1D4C" w:rsidP="00BB1D4C">
            <w:pPr>
              <w:jc w:val="center"/>
              <w:rPr>
                <w:rFonts w:cs="Times New Roman"/>
                <w:b/>
                <w:bCs/>
                <w:sz w:val="24"/>
                <w:szCs w:val="22"/>
              </w:rPr>
            </w:pPr>
            <w:r>
              <w:rPr>
                <w:rFonts w:cs="Times New Roman"/>
                <w:b/>
                <w:bCs/>
                <w:sz w:val="24"/>
                <w:szCs w:val="22"/>
              </w:rPr>
              <w:t xml:space="preserve">Masters Students </w:t>
            </w:r>
            <w:r w:rsidRPr="0090673B">
              <w:rPr>
                <w:rFonts w:cs="Times New Roman"/>
                <w:b/>
                <w:bCs/>
                <w:sz w:val="24"/>
                <w:szCs w:val="22"/>
              </w:rPr>
              <w:t>Weight (%)</w:t>
            </w:r>
          </w:p>
        </w:tc>
        <w:tc>
          <w:tcPr>
            <w:tcW w:w="2403" w:type="dxa"/>
            <w:tcBorders>
              <w:top w:val="single" w:sz="4" w:space="0" w:color="auto"/>
              <w:right w:val="single" w:sz="4" w:space="0" w:color="auto"/>
            </w:tcBorders>
            <w:vAlign w:val="center"/>
          </w:tcPr>
          <w:p w14:paraId="0F4610EF" w14:textId="49221D1F" w:rsidR="00BB1D4C" w:rsidRPr="0090673B" w:rsidRDefault="00BB1D4C" w:rsidP="00BB1D4C">
            <w:pPr>
              <w:jc w:val="center"/>
              <w:rPr>
                <w:rFonts w:cs="Times New Roman"/>
                <w:b/>
                <w:bCs/>
                <w:sz w:val="24"/>
                <w:szCs w:val="22"/>
              </w:rPr>
            </w:pPr>
            <w:r>
              <w:rPr>
                <w:rFonts w:cs="Times New Roman"/>
                <w:b/>
                <w:bCs/>
                <w:sz w:val="24"/>
                <w:szCs w:val="22"/>
              </w:rPr>
              <w:t xml:space="preserve">PhD Students </w:t>
            </w:r>
            <w:r w:rsidRPr="0090673B">
              <w:rPr>
                <w:rFonts w:cs="Times New Roman"/>
                <w:b/>
                <w:bCs/>
                <w:sz w:val="24"/>
                <w:szCs w:val="22"/>
              </w:rPr>
              <w:t>Weight (%)</w:t>
            </w:r>
          </w:p>
        </w:tc>
      </w:tr>
      <w:tr w:rsidR="00681BF6" w:rsidRPr="00934689" w14:paraId="74DF227F" w14:textId="4C968738" w:rsidTr="00F820A4">
        <w:trPr>
          <w:trHeight w:val="330"/>
        </w:trPr>
        <w:tc>
          <w:tcPr>
            <w:tcW w:w="6060" w:type="dxa"/>
            <w:shd w:val="clear" w:color="auto" w:fill="auto"/>
          </w:tcPr>
          <w:p w14:paraId="51685E17" w14:textId="50D45497" w:rsidR="00681BF6" w:rsidRPr="00CB6C7E" w:rsidRDefault="00681BF6" w:rsidP="00681BF6">
            <w:pPr>
              <w:rPr>
                <w:rFonts w:eastAsia="Cambria" w:cs="Times New Roman"/>
                <w:sz w:val="24"/>
                <w:szCs w:val="22"/>
              </w:rPr>
            </w:pPr>
            <w:r w:rsidRPr="000A5BCD">
              <w:rPr>
                <w:rFonts w:eastAsia="Cambria" w:cs="Times New Roman"/>
                <w:szCs w:val="22"/>
              </w:rPr>
              <w:t xml:space="preserve">Class Participation </w:t>
            </w:r>
          </w:p>
        </w:tc>
        <w:tc>
          <w:tcPr>
            <w:tcW w:w="2403" w:type="dxa"/>
            <w:tcBorders>
              <w:right w:val="single" w:sz="4" w:space="0" w:color="auto"/>
            </w:tcBorders>
            <w:shd w:val="clear" w:color="auto" w:fill="auto"/>
          </w:tcPr>
          <w:p w14:paraId="2BEE6D2D" w14:textId="4D507031" w:rsidR="00681BF6" w:rsidRPr="00CB6C7E" w:rsidRDefault="00681BF6" w:rsidP="00681BF6">
            <w:pPr>
              <w:rPr>
                <w:rFonts w:eastAsia="Cambria" w:cs="Times New Roman"/>
                <w:sz w:val="24"/>
                <w:szCs w:val="22"/>
              </w:rPr>
            </w:pPr>
            <w:r>
              <w:rPr>
                <w:rFonts w:eastAsia="Cambria" w:cs="Times New Roman"/>
                <w:szCs w:val="22"/>
              </w:rPr>
              <w:t>5</w:t>
            </w:r>
            <w:r w:rsidRPr="000A5BCD">
              <w:rPr>
                <w:rFonts w:eastAsia="Cambria" w:cs="Times New Roman"/>
                <w:szCs w:val="22"/>
              </w:rPr>
              <w:t>%</w:t>
            </w:r>
          </w:p>
        </w:tc>
        <w:tc>
          <w:tcPr>
            <w:tcW w:w="2403" w:type="dxa"/>
            <w:tcBorders>
              <w:right w:val="single" w:sz="4" w:space="0" w:color="auto"/>
            </w:tcBorders>
          </w:tcPr>
          <w:p w14:paraId="45CE4C54" w14:textId="5A3240E5" w:rsidR="00681BF6" w:rsidRDefault="00681BF6" w:rsidP="00681BF6">
            <w:pPr>
              <w:rPr>
                <w:rFonts w:eastAsia="Cambria" w:cs="Times New Roman"/>
                <w:szCs w:val="22"/>
              </w:rPr>
            </w:pPr>
            <w:r>
              <w:rPr>
                <w:rFonts w:eastAsia="Cambria" w:cs="Times New Roman"/>
                <w:szCs w:val="22"/>
              </w:rPr>
              <w:t>5</w:t>
            </w:r>
            <w:r w:rsidRPr="000A5BCD">
              <w:rPr>
                <w:rFonts w:eastAsia="Cambria" w:cs="Times New Roman"/>
                <w:szCs w:val="22"/>
              </w:rPr>
              <w:t>%</w:t>
            </w:r>
          </w:p>
        </w:tc>
      </w:tr>
      <w:tr w:rsidR="00681BF6" w:rsidRPr="00934689" w14:paraId="3E1ADFAC" w14:textId="6CA38A08" w:rsidTr="00F820A4">
        <w:trPr>
          <w:trHeight w:val="330"/>
        </w:trPr>
        <w:tc>
          <w:tcPr>
            <w:tcW w:w="6060" w:type="dxa"/>
            <w:shd w:val="clear" w:color="auto" w:fill="auto"/>
          </w:tcPr>
          <w:p w14:paraId="5A010C9C" w14:textId="17BBA0B3" w:rsidR="00681BF6" w:rsidRPr="00CB6C7E" w:rsidRDefault="00681BF6" w:rsidP="00681BF6">
            <w:pPr>
              <w:rPr>
                <w:rFonts w:eastAsia="Cambria" w:cs="Times New Roman"/>
                <w:sz w:val="24"/>
                <w:szCs w:val="22"/>
              </w:rPr>
            </w:pPr>
            <w:r>
              <w:rPr>
                <w:rFonts w:eastAsia="Cambria" w:cs="Times New Roman"/>
                <w:szCs w:val="22"/>
              </w:rPr>
              <w:t>Reaction Papers</w:t>
            </w:r>
          </w:p>
        </w:tc>
        <w:tc>
          <w:tcPr>
            <w:tcW w:w="2403" w:type="dxa"/>
            <w:tcBorders>
              <w:right w:val="single" w:sz="4" w:space="0" w:color="auto"/>
            </w:tcBorders>
            <w:shd w:val="clear" w:color="auto" w:fill="auto"/>
          </w:tcPr>
          <w:p w14:paraId="754DA0B3" w14:textId="2170525D" w:rsidR="00681BF6" w:rsidRPr="00CB6C7E" w:rsidRDefault="00681BF6" w:rsidP="00681BF6">
            <w:pPr>
              <w:rPr>
                <w:rFonts w:eastAsia="Cambria" w:cs="Times New Roman"/>
                <w:sz w:val="24"/>
                <w:szCs w:val="22"/>
              </w:rPr>
            </w:pPr>
            <w:r>
              <w:rPr>
                <w:rFonts w:eastAsia="Cambria" w:cs="Times New Roman"/>
                <w:szCs w:val="22"/>
              </w:rPr>
              <w:t>15%</w:t>
            </w:r>
          </w:p>
        </w:tc>
        <w:tc>
          <w:tcPr>
            <w:tcW w:w="2403" w:type="dxa"/>
            <w:tcBorders>
              <w:right w:val="single" w:sz="4" w:space="0" w:color="auto"/>
            </w:tcBorders>
          </w:tcPr>
          <w:p w14:paraId="58F34C91" w14:textId="54F07585" w:rsidR="00681BF6" w:rsidRDefault="00681BF6" w:rsidP="00681BF6">
            <w:pPr>
              <w:rPr>
                <w:rFonts w:eastAsia="Cambria" w:cs="Times New Roman"/>
                <w:szCs w:val="22"/>
              </w:rPr>
            </w:pPr>
            <w:r>
              <w:rPr>
                <w:rFonts w:eastAsia="Cambria" w:cs="Times New Roman"/>
                <w:szCs w:val="22"/>
              </w:rPr>
              <w:t>15%</w:t>
            </w:r>
          </w:p>
        </w:tc>
      </w:tr>
      <w:tr w:rsidR="00681BF6" w:rsidRPr="00934689" w14:paraId="4B193702" w14:textId="19CA77ED" w:rsidTr="00F820A4">
        <w:trPr>
          <w:trHeight w:val="330"/>
        </w:trPr>
        <w:tc>
          <w:tcPr>
            <w:tcW w:w="6060" w:type="dxa"/>
            <w:shd w:val="clear" w:color="auto" w:fill="auto"/>
          </w:tcPr>
          <w:p w14:paraId="0B236EBF" w14:textId="21A06CB6" w:rsidR="00681BF6" w:rsidRPr="00CB6C7E" w:rsidRDefault="00681BF6" w:rsidP="00681BF6">
            <w:pPr>
              <w:rPr>
                <w:rFonts w:cs="Times New Roman"/>
                <w:sz w:val="24"/>
                <w:szCs w:val="22"/>
              </w:rPr>
            </w:pPr>
            <w:r>
              <w:rPr>
                <w:rFonts w:eastAsia="Cambria" w:cs="Times New Roman"/>
                <w:szCs w:val="22"/>
              </w:rPr>
              <w:t>Midterm Exam</w:t>
            </w:r>
          </w:p>
        </w:tc>
        <w:tc>
          <w:tcPr>
            <w:tcW w:w="2403" w:type="dxa"/>
            <w:tcBorders>
              <w:right w:val="single" w:sz="4" w:space="0" w:color="auto"/>
            </w:tcBorders>
            <w:shd w:val="clear" w:color="auto" w:fill="auto"/>
          </w:tcPr>
          <w:p w14:paraId="695C4FFA" w14:textId="56BC66EF" w:rsidR="00681BF6" w:rsidRPr="00CB6C7E" w:rsidRDefault="00681BF6" w:rsidP="00681BF6">
            <w:pPr>
              <w:rPr>
                <w:rFonts w:cs="Times New Roman"/>
                <w:sz w:val="24"/>
                <w:szCs w:val="22"/>
              </w:rPr>
            </w:pPr>
            <w:r>
              <w:rPr>
                <w:rFonts w:eastAsia="Cambria" w:cs="Times New Roman"/>
                <w:szCs w:val="22"/>
              </w:rPr>
              <w:t>4</w:t>
            </w:r>
            <w:r w:rsidRPr="000A5BCD">
              <w:rPr>
                <w:rFonts w:eastAsia="Cambria" w:cs="Times New Roman"/>
                <w:szCs w:val="22"/>
              </w:rPr>
              <w:t>0%</w:t>
            </w:r>
          </w:p>
        </w:tc>
        <w:tc>
          <w:tcPr>
            <w:tcW w:w="2403" w:type="dxa"/>
            <w:tcBorders>
              <w:right w:val="single" w:sz="4" w:space="0" w:color="auto"/>
            </w:tcBorders>
          </w:tcPr>
          <w:p w14:paraId="076776B3" w14:textId="27D95179" w:rsidR="00681BF6" w:rsidRDefault="00681BF6" w:rsidP="00681BF6">
            <w:pPr>
              <w:rPr>
                <w:rFonts w:eastAsia="Cambria" w:cs="Times New Roman"/>
                <w:szCs w:val="22"/>
              </w:rPr>
            </w:pPr>
            <w:r>
              <w:rPr>
                <w:rFonts w:eastAsia="Cambria" w:cs="Times New Roman"/>
                <w:szCs w:val="22"/>
              </w:rPr>
              <w:t>4</w:t>
            </w:r>
            <w:r w:rsidRPr="000A5BCD">
              <w:rPr>
                <w:rFonts w:eastAsia="Cambria" w:cs="Times New Roman"/>
                <w:szCs w:val="22"/>
              </w:rPr>
              <w:t>0%</w:t>
            </w:r>
          </w:p>
        </w:tc>
      </w:tr>
      <w:tr w:rsidR="00681BF6" w:rsidRPr="00934689" w14:paraId="0C2C3A3A" w14:textId="55438B9F" w:rsidTr="00F820A4">
        <w:trPr>
          <w:trHeight w:val="67"/>
        </w:trPr>
        <w:tc>
          <w:tcPr>
            <w:tcW w:w="6060" w:type="dxa"/>
            <w:shd w:val="clear" w:color="auto" w:fill="auto"/>
          </w:tcPr>
          <w:p w14:paraId="230FECEF" w14:textId="3ACCA55E" w:rsidR="00681BF6" w:rsidRPr="00CB6C7E" w:rsidRDefault="00681BF6" w:rsidP="00681BF6">
            <w:pPr>
              <w:rPr>
                <w:rFonts w:cs="Times New Roman"/>
                <w:sz w:val="24"/>
                <w:szCs w:val="22"/>
              </w:rPr>
            </w:pPr>
            <w:r>
              <w:rPr>
                <w:rFonts w:eastAsia="Cambria" w:cs="Times New Roman"/>
                <w:szCs w:val="22"/>
              </w:rPr>
              <w:t>Case Study Assignment</w:t>
            </w:r>
          </w:p>
        </w:tc>
        <w:tc>
          <w:tcPr>
            <w:tcW w:w="2403" w:type="dxa"/>
            <w:tcBorders>
              <w:right w:val="single" w:sz="4" w:space="0" w:color="auto"/>
            </w:tcBorders>
            <w:shd w:val="clear" w:color="auto" w:fill="auto"/>
          </w:tcPr>
          <w:p w14:paraId="35014120" w14:textId="5EAFE3EC" w:rsidR="00681BF6" w:rsidRPr="00CB6C7E" w:rsidRDefault="00681BF6" w:rsidP="00681BF6">
            <w:pPr>
              <w:rPr>
                <w:rFonts w:cs="Times New Roman"/>
                <w:sz w:val="24"/>
                <w:szCs w:val="22"/>
              </w:rPr>
            </w:pPr>
            <w:r>
              <w:rPr>
                <w:rFonts w:eastAsia="Cambria" w:cs="Times New Roman"/>
                <w:szCs w:val="22"/>
              </w:rPr>
              <w:t>4</w:t>
            </w:r>
            <w:r w:rsidRPr="000A5BCD">
              <w:rPr>
                <w:rFonts w:eastAsia="Cambria" w:cs="Times New Roman"/>
                <w:szCs w:val="22"/>
              </w:rPr>
              <w:t>0%</w:t>
            </w:r>
          </w:p>
        </w:tc>
        <w:tc>
          <w:tcPr>
            <w:tcW w:w="2403" w:type="dxa"/>
            <w:tcBorders>
              <w:right w:val="single" w:sz="4" w:space="0" w:color="auto"/>
            </w:tcBorders>
          </w:tcPr>
          <w:p w14:paraId="1B504302" w14:textId="6A6341CB" w:rsidR="00681BF6" w:rsidRDefault="00681BF6" w:rsidP="00681BF6">
            <w:pPr>
              <w:rPr>
                <w:rFonts w:eastAsia="Cambria" w:cs="Times New Roman"/>
                <w:szCs w:val="22"/>
              </w:rPr>
            </w:pPr>
            <w:r>
              <w:rPr>
                <w:rFonts w:eastAsia="Cambria" w:cs="Times New Roman"/>
                <w:szCs w:val="22"/>
              </w:rPr>
              <w:t>N/A</w:t>
            </w:r>
          </w:p>
        </w:tc>
      </w:tr>
      <w:tr w:rsidR="00681BF6" w:rsidRPr="00934689" w14:paraId="70F41D9F" w14:textId="77777777" w:rsidTr="00F820A4">
        <w:trPr>
          <w:trHeight w:val="67"/>
        </w:trPr>
        <w:tc>
          <w:tcPr>
            <w:tcW w:w="6060" w:type="dxa"/>
            <w:shd w:val="clear" w:color="auto" w:fill="auto"/>
          </w:tcPr>
          <w:p w14:paraId="4DECC854" w14:textId="35A958A3" w:rsidR="00681BF6" w:rsidRDefault="00681BF6" w:rsidP="00681BF6">
            <w:pPr>
              <w:rPr>
                <w:rFonts w:eastAsia="Cambria" w:cs="Times New Roman"/>
                <w:szCs w:val="22"/>
              </w:rPr>
            </w:pPr>
            <w:r>
              <w:rPr>
                <w:rFonts w:eastAsia="Cambria" w:cs="Times New Roman"/>
                <w:szCs w:val="22"/>
              </w:rPr>
              <w:t>Term Paper</w:t>
            </w:r>
          </w:p>
        </w:tc>
        <w:tc>
          <w:tcPr>
            <w:tcW w:w="2403" w:type="dxa"/>
            <w:tcBorders>
              <w:right w:val="single" w:sz="4" w:space="0" w:color="auto"/>
            </w:tcBorders>
            <w:shd w:val="clear" w:color="auto" w:fill="auto"/>
          </w:tcPr>
          <w:p w14:paraId="0FCE2060" w14:textId="59869EC9" w:rsidR="00681BF6" w:rsidRDefault="00E9536C" w:rsidP="00681BF6">
            <w:pPr>
              <w:rPr>
                <w:rFonts w:eastAsia="Cambria" w:cs="Times New Roman"/>
                <w:szCs w:val="22"/>
              </w:rPr>
            </w:pPr>
            <w:r>
              <w:rPr>
                <w:rFonts w:eastAsia="Cambria" w:cs="Times New Roman"/>
                <w:szCs w:val="22"/>
              </w:rPr>
              <w:t>N/A</w:t>
            </w:r>
          </w:p>
        </w:tc>
        <w:tc>
          <w:tcPr>
            <w:tcW w:w="2403" w:type="dxa"/>
            <w:tcBorders>
              <w:right w:val="single" w:sz="4" w:space="0" w:color="auto"/>
            </w:tcBorders>
          </w:tcPr>
          <w:p w14:paraId="71BCBEE4" w14:textId="4E759589" w:rsidR="00681BF6" w:rsidRDefault="00681BF6" w:rsidP="00681BF6">
            <w:pPr>
              <w:rPr>
                <w:rFonts w:eastAsia="Cambria" w:cs="Times New Roman"/>
                <w:szCs w:val="22"/>
              </w:rPr>
            </w:pPr>
            <w:r>
              <w:rPr>
                <w:rFonts w:eastAsia="Cambria" w:cs="Times New Roman"/>
                <w:szCs w:val="22"/>
              </w:rPr>
              <w:t>40%</w:t>
            </w:r>
          </w:p>
        </w:tc>
      </w:tr>
    </w:tbl>
    <w:p w14:paraId="04D18731" w14:textId="77777777" w:rsidR="00DC6790" w:rsidRPr="00D45ECC" w:rsidRDefault="00DC6790" w:rsidP="00DC6790">
      <w:pPr>
        <w:pStyle w:val="Heading1"/>
        <w:rPr>
          <w:i/>
        </w:rPr>
      </w:pPr>
      <w:r>
        <w:lastRenderedPageBreak/>
        <w:t>Late Work Policy</w:t>
      </w:r>
    </w:p>
    <w:p w14:paraId="303D6C68" w14:textId="7B1FDBC1" w:rsidR="00DC6790" w:rsidRDefault="00934689" w:rsidP="00934689">
      <w:pPr>
        <w:rPr>
          <w:rStyle w:val="Emphasis"/>
          <w:iCs/>
          <w:caps w:val="0"/>
          <w:color w:val="auto"/>
          <w:szCs w:val="22"/>
        </w:rPr>
      </w:pPr>
      <w:r w:rsidRPr="00BE1A94">
        <w:rPr>
          <w:rStyle w:val="Emphasis"/>
          <w:iCs/>
          <w:caps w:val="0"/>
          <w:color w:val="auto"/>
          <w:szCs w:val="22"/>
        </w:rPr>
        <w:t xml:space="preserve">Late work – which is defined as submitting an assignment after the established due date – will be accepted in this course at a 10% penalty per day. Work submitted by a student after an excused absence is </w:t>
      </w:r>
      <w:r w:rsidR="00DC6790" w:rsidRPr="00BE1A94">
        <w:rPr>
          <w:rStyle w:val="Emphasis"/>
          <w:iCs/>
          <w:caps w:val="0"/>
          <w:color w:val="auto"/>
          <w:szCs w:val="22"/>
        </w:rPr>
        <w:t xml:space="preserve">not considered late work and is exempted from the late work policy. (See </w:t>
      </w:r>
      <w:hyperlink r:id="rId21" w:tgtFrame="_blank" w:history="1">
        <w:r w:rsidR="00DC6790" w:rsidRPr="00BE1A94">
          <w:rPr>
            <w:rStyle w:val="Hyperlink"/>
            <w:iCs/>
            <w:caps/>
            <w:color w:val="auto"/>
            <w:szCs w:val="22"/>
          </w:rPr>
          <w:t>Student Rule 7</w:t>
        </w:r>
      </w:hyperlink>
      <w:r w:rsidR="00DC6790" w:rsidRPr="00BE1A94">
        <w:rPr>
          <w:rStyle w:val="Emphasis"/>
          <w:iCs/>
          <w:caps w:val="0"/>
          <w:color w:val="auto"/>
          <w:szCs w:val="22"/>
        </w:rPr>
        <w:t>.)</w:t>
      </w:r>
    </w:p>
    <w:p w14:paraId="6F5E63AE" w14:textId="763136A5" w:rsidR="00DA5179" w:rsidRPr="00D45ECC" w:rsidRDefault="00DA5179" w:rsidP="00E6561E">
      <w:pPr>
        <w:pStyle w:val="Heading1"/>
        <w:rPr>
          <w:i/>
        </w:rPr>
      </w:pPr>
      <w:r w:rsidRPr="00E6561E">
        <w:t xml:space="preserve">Attendance </w:t>
      </w:r>
      <w:r w:rsidR="00F140F8">
        <w:t>POLICY</w:t>
      </w:r>
    </w:p>
    <w:p w14:paraId="68C3964D" w14:textId="77777777" w:rsidR="00E6561E" w:rsidRPr="004B5A48" w:rsidRDefault="00E6561E" w:rsidP="00E6561E">
      <w:r w:rsidRPr="004B5A48">
        <w:t xml:space="preserve">The university views class attendance and participation as an individual student responsibility. Students are expected to attend class and to complete all assignments. </w:t>
      </w:r>
    </w:p>
    <w:p w14:paraId="40B6B7E0" w14:textId="77777777" w:rsidR="00F140F8" w:rsidRDefault="00E6561E" w:rsidP="00F140F8">
      <w:r w:rsidRPr="004B5A48">
        <w:t xml:space="preserve">Please refer to </w:t>
      </w:r>
      <w:hyperlink r:id="rId22" w:history="1">
        <w:r w:rsidRPr="004B5A48">
          <w:rPr>
            <w:rStyle w:val="Hyperlink"/>
          </w:rPr>
          <w:t>Student Rule 7</w:t>
        </w:r>
      </w:hyperlink>
      <w:r w:rsidRPr="004B5A48">
        <w:t xml:space="preserve"> in its entirety for information about excused absences, including definitions, and related documentation and timelines.</w:t>
      </w:r>
    </w:p>
    <w:p w14:paraId="00A85FF3" w14:textId="62F734F0" w:rsidR="00DA5179" w:rsidRPr="00F140F8" w:rsidRDefault="00DA5179" w:rsidP="00F140F8">
      <w:r w:rsidRPr="004E0F92">
        <w:rPr>
          <w:rFonts w:cs="Times New Roman"/>
          <w:szCs w:val="22"/>
        </w:rPr>
        <w:t xml:space="preserve">A university-excused absence is the </w:t>
      </w:r>
      <w:r w:rsidRPr="004E0F92">
        <w:rPr>
          <w:rFonts w:cs="Times New Roman"/>
          <w:b/>
          <w:bCs/>
          <w:i/>
          <w:iCs/>
          <w:szCs w:val="22"/>
        </w:rPr>
        <w:t xml:space="preserve">only </w:t>
      </w:r>
      <w:r w:rsidRPr="004E0F92">
        <w:rPr>
          <w:rFonts w:cs="Times New Roman"/>
          <w:szCs w:val="22"/>
        </w:rPr>
        <w:t xml:space="preserve">excuse acceptable for missing an assignment credit. For information regarding what constitutes an excused absence, required documentation, and timing of notifications and provision of documentation, please see </w:t>
      </w:r>
      <w:hyperlink r:id="rId23" w:history="1">
        <w:r w:rsidRPr="004E0F92">
          <w:rPr>
            <w:rStyle w:val="Hyperlink"/>
            <w:rFonts w:cs="Times New Roman"/>
            <w:szCs w:val="22"/>
          </w:rPr>
          <w:t>http://student-rules.tamu.edu/rule07</w:t>
        </w:r>
      </w:hyperlink>
      <w:r w:rsidRPr="004E0F92">
        <w:rPr>
          <w:rFonts w:cs="Times New Roman"/>
          <w:szCs w:val="22"/>
        </w:rPr>
        <w:t>.  Unexcused absences will result in a grade of a 0, for missed assignments.</w:t>
      </w:r>
    </w:p>
    <w:p w14:paraId="7AEC8F0A" w14:textId="77777777" w:rsidR="00DA5179" w:rsidRPr="004E0F92" w:rsidRDefault="00DA5179" w:rsidP="00AF579C">
      <w:pPr>
        <w:rPr>
          <w:rFonts w:cs="Times New Roman"/>
        </w:rPr>
      </w:pPr>
      <w:r w:rsidRPr="004E0F92">
        <w:rPr>
          <w:rFonts w:cs="Times New Roman"/>
        </w:rPr>
        <w:t xml:space="preserve">University-excused absences do not relieve the student of responsibility for prior notification (where possible) and documentation. In cases where prior notification is not feasible (e.g., accident or emergency) the student must provide notification by the end of the second working day after the absence, including an explanation of why notice could not be sent prior to the class.  Failure to notify and/or document properly may result in classification as an unexcused absence. Falsification of documentation is a violation of the Honor Code. </w:t>
      </w:r>
    </w:p>
    <w:p w14:paraId="70D6AAB2" w14:textId="0D0546B2" w:rsidR="00DA5179" w:rsidRDefault="00DA5179" w:rsidP="00AF579C">
      <w:pPr>
        <w:rPr>
          <w:rFonts w:cs="Times New Roman"/>
        </w:rPr>
      </w:pPr>
      <w:r w:rsidRPr="004E0F92">
        <w:rPr>
          <w:rFonts w:cs="Times New Roman"/>
        </w:rPr>
        <w:t>Other absences may be excused at the discretion of the instructor with prior notification and proper documentation.</w:t>
      </w:r>
    </w:p>
    <w:p w14:paraId="3DA9707B" w14:textId="34FAC640" w:rsidR="00DC6790" w:rsidRPr="00212965" w:rsidRDefault="00331B1B" w:rsidP="00DC6790">
      <w:pPr>
        <w:rPr>
          <w:rFonts w:cs="Times New Roman"/>
        </w:rPr>
      </w:pPr>
      <w:r w:rsidRPr="00331B1B">
        <w:rPr>
          <w:rFonts w:cs="Times New Roman"/>
        </w:rPr>
        <w:t>If this class is forced to move online due to COVID-19, s</w:t>
      </w:r>
      <w:r w:rsidR="00DC6790" w:rsidRPr="00331B1B">
        <w:rPr>
          <w:rFonts w:cs="Times New Roman"/>
        </w:rPr>
        <w:t xml:space="preserve">tudents who join this class remotely will be required to use their webcam throughout the duration of the course.  Per the University’s </w:t>
      </w:r>
      <w:hyperlink r:id="rId24" w:history="1">
        <w:r w:rsidR="00DC6790" w:rsidRPr="00331B1B">
          <w:rPr>
            <w:rStyle w:val="Hyperlink"/>
            <w:rFonts w:cs="Times New Roman"/>
            <w:color w:val="0070C0"/>
          </w:rPr>
          <w:t>Bring your Own Device Policy</w:t>
        </w:r>
      </w:hyperlink>
      <w:r w:rsidR="00DC6790" w:rsidRPr="00331B1B">
        <w:rPr>
          <w:rFonts w:cs="Times New Roman"/>
          <w:color w:val="0070C0"/>
        </w:rPr>
        <w:t>,</w:t>
      </w:r>
      <w:r w:rsidR="00DC6790" w:rsidRPr="00331B1B">
        <w:rPr>
          <w:rFonts w:cs="Times New Roman"/>
        </w:rPr>
        <w:t xml:space="preserve"> students must have a webcam to engage in courses remotely.</w:t>
      </w:r>
    </w:p>
    <w:p w14:paraId="4213E9F0" w14:textId="2D7812C2" w:rsidR="00F140F8" w:rsidRPr="00D45ECC" w:rsidRDefault="00F140F8" w:rsidP="00F140F8">
      <w:pPr>
        <w:pStyle w:val="Heading1"/>
        <w:rPr>
          <w:i/>
        </w:rPr>
      </w:pPr>
      <w:r>
        <w:t>Make-Up POLICY</w:t>
      </w:r>
    </w:p>
    <w:p w14:paraId="4B44D064" w14:textId="77777777" w:rsidR="00F140F8" w:rsidRPr="003B04F2" w:rsidRDefault="00F140F8" w:rsidP="00F140F8">
      <w:r w:rsidRPr="003B04F2">
        <w:t xml:space="preserve">Students will be excused from attending class on the day of a graded activity or when attendance contributes to a student’s grade, for the reasons stated in Student Rule 7, or other reason deemed appropriate by the instructor. </w:t>
      </w:r>
    </w:p>
    <w:p w14:paraId="2AB9A63F" w14:textId="77777777" w:rsidR="00F140F8" w:rsidRPr="003B04F2" w:rsidRDefault="00F140F8" w:rsidP="00F140F8">
      <w:r w:rsidRPr="003B04F2">
        <w:t xml:space="preserve">Please refer to </w:t>
      </w:r>
      <w:hyperlink r:id="rId25" w:history="1">
        <w:r w:rsidRPr="003B04F2">
          <w:rPr>
            <w:rStyle w:val="Hyperlink"/>
          </w:rPr>
          <w:t>Student Rule 7</w:t>
        </w:r>
      </w:hyperlink>
      <w:r w:rsidRPr="003B04F2">
        <w:t xml:space="preserve"> in its entirety for information about makeup work, including definitions, and related documentation and timelines.</w:t>
      </w:r>
    </w:p>
    <w:p w14:paraId="330E1198" w14:textId="77777777" w:rsidR="00F140F8" w:rsidRPr="003B04F2" w:rsidRDefault="00F140F8" w:rsidP="00F140F8">
      <w:r w:rsidRPr="003B04F2">
        <w:t>Absences related to Title IX of the Education Amendments of 1972 may necessitate a period of more than 30 days for make-up work, and the timeframe for make-up work should be agreed upon by the student and instructor” (</w:t>
      </w:r>
      <w:hyperlink r:id="rId26" w:history="1">
        <w:r w:rsidRPr="003B04F2">
          <w:rPr>
            <w:rStyle w:val="Hyperlink"/>
          </w:rPr>
          <w:t>Student Rule 7, Section 7.4.1</w:t>
        </w:r>
      </w:hyperlink>
      <w:r w:rsidRPr="003B04F2">
        <w:t>).</w:t>
      </w:r>
    </w:p>
    <w:p w14:paraId="65A4C7F8" w14:textId="77777777" w:rsidR="00F140F8" w:rsidRPr="003B04F2" w:rsidRDefault="00F140F8" w:rsidP="00F140F8">
      <w:r w:rsidRPr="003B04F2">
        <w:t>“The instructor is under no obligation to provide an opportunity for the student to make up work missed because of an unexcused absence” (</w:t>
      </w:r>
      <w:hyperlink r:id="rId27" w:history="1">
        <w:r w:rsidRPr="003B04F2">
          <w:rPr>
            <w:rStyle w:val="Hyperlink"/>
          </w:rPr>
          <w:t>Student Rule 7, Section 7.4.2</w:t>
        </w:r>
      </w:hyperlink>
      <w:r w:rsidRPr="003B04F2">
        <w:t>).</w:t>
      </w:r>
    </w:p>
    <w:p w14:paraId="58AB6664" w14:textId="29F08C78" w:rsidR="00F140F8" w:rsidRDefault="00F140F8" w:rsidP="00F140F8">
      <w:r w:rsidRPr="003B04F2">
        <w:t xml:space="preserve">Students who request an excused absence are expected to uphold the Aggie Honor Code and Student Conduct Code. (See </w:t>
      </w:r>
      <w:hyperlink r:id="rId28" w:history="1">
        <w:r w:rsidRPr="003B04F2">
          <w:rPr>
            <w:rStyle w:val="Hyperlink"/>
          </w:rPr>
          <w:t>Student Rule 24</w:t>
        </w:r>
      </w:hyperlink>
      <w:r w:rsidRPr="003B04F2">
        <w:t>.)</w:t>
      </w:r>
    </w:p>
    <w:p w14:paraId="0C499D35" w14:textId="77777777" w:rsidR="00F829E3" w:rsidRDefault="00F829E3" w:rsidP="00F140F8"/>
    <w:p w14:paraId="112C68BA" w14:textId="5008B513" w:rsidR="000C7FB0" w:rsidRDefault="000C7FB0" w:rsidP="008E274A">
      <w:pPr>
        <w:pStyle w:val="Heading1"/>
        <w:rPr>
          <w:sz w:val="24"/>
          <w:szCs w:val="24"/>
        </w:rPr>
      </w:pPr>
      <w:r w:rsidRPr="008E274A">
        <w:rPr>
          <w:rStyle w:val="Heading1Char"/>
          <w:b/>
        </w:rPr>
        <w:lastRenderedPageBreak/>
        <w:t>Canvas</w:t>
      </w:r>
      <w:r w:rsidRPr="008E274A">
        <w:rPr>
          <w:rStyle w:val="Heading1Char"/>
        </w:rPr>
        <w:t xml:space="preserve"> </w:t>
      </w:r>
      <w:r w:rsidRPr="008E274A">
        <w:rPr>
          <w:rStyle w:val="Heading1Char"/>
          <w:b/>
        </w:rPr>
        <w:t>L</w:t>
      </w:r>
      <w:r w:rsidR="008E274A" w:rsidRPr="008E274A">
        <w:rPr>
          <w:rStyle w:val="Heading1Char"/>
          <w:b/>
        </w:rPr>
        <w:t xml:space="preserve">earning </w:t>
      </w:r>
      <w:r w:rsidRPr="008E274A">
        <w:rPr>
          <w:rStyle w:val="Heading1Char"/>
          <w:b/>
        </w:rPr>
        <w:t>M</w:t>
      </w:r>
      <w:r w:rsidR="008E274A" w:rsidRPr="008E274A">
        <w:rPr>
          <w:rStyle w:val="Heading1Char"/>
          <w:b/>
        </w:rPr>
        <w:t xml:space="preserve">anagement </w:t>
      </w:r>
      <w:r w:rsidRPr="008E274A">
        <w:rPr>
          <w:rStyle w:val="Heading1Char"/>
          <w:b/>
        </w:rPr>
        <w:t>S</w:t>
      </w:r>
      <w:r w:rsidR="008E274A" w:rsidRPr="008E274A">
        <w:rPr>
          <w:rStyle w:val="Heading1Char"/>
          <w:b/>
        </w:rPr>
        <w:t>ystem</w:t>
      </w:r>
    </w:p>
    <w:p w14:paraId="68238029" w14:textId="10638619" w:rsidR="000C7FB0" w:rsidRPr="00AD6F46" w:rsidRDefault="000C7FB0" w:rsidP="000C7FB0">
      <w:pPr>
        <w:rPr>
          <w:szCs w:val="22"/>
        </w:rPr>
      </w:pPr>
      <w:r w:rsidRPr="00AD6F46">
        <w:rPr>
          <w:color w:val="000000"/>
          <w:szCs w:val="22"/>
        </w:rPr>
        <w:t>This course uses Canvas, a new Learning Management System</w:t>
      </w:r>
      <w:r w:rsidR="008E274A" w:rsidRPr="00AD6F46">
        <w:rPr>
          <w:color w:val="000000"/>
          <w:szCs w:val="22"/>
        </w:rPr>
        <w:t xml:space="preserve"> (LMS)</w:t>
      </w:r>
      <w:r w:rsidRPr="00AD6F46">
        <w:rPr>
          <w:color w:val="000000"/>
          <w:szCs w:val="22"/>
        </w:rPr>
        <w:t xml:space="preserve"> used by Texas A&amp;M. This new LMS allows faculty to engage and communicate with students, post materials like videos, audios, files</w:t>
      </w:r>
      <w:r w:rsidR="008E274A" w:rsidRPr="00AD6F46">
        <w:rPr>
          <w:color w:val="000000"/>
          <w:szCs w:val="22"/>
        </w:rPr>
        <w:t>, collect assignments, and provide grades</w:t>
      </w:r>
      <w:r w:rsidRPr="00AD6F46">
        <w:rPr>
          <w:color w:val="000000"/>
          <w:szCs w:val="22"/>
        </w:rPr>
        <w:t xml:space="preserve">. </w:t>
      </w:r>
      <w:r w:rsidRPr="00AD6F46">
        <w:rPr>
          <w:szCs w:val="22"/>
        </w:rPr>
        <w:t> </w:t>
      </w:r>
    </w:p>
    <w:p w14:paraId="34F89AFC" w14:textId="0CAC573D" w:rsidR="000C7FB0" w:rsidRPr="00AD6F46" w:rsidRDefault="000C7FB0" w:rsidP="000C7FB0">
      <w:pPr>
        <w:rPr>
          <w:rStyle w:val="Hyperlink"/>
          <w:szCs w:val="22"/>
        </w:rPr>
      </w:pPr>
      <w:r w:rsidRPr="004D3BFF">
        <w:rPr>
          <w:szCs w:val="22"/>
        </w:rPr>
        <w:t xml:space="preserve">In order to access the course </w:t>
      </w:r>
      <w:proofErr w:type="gramStart"/>
      <w:r w:rsidRPr="004D3BFF">
        <w:rPr>
          <w:szCs w:val="22"/>
        </w:rPr>
        <w:t>materials</w:t>
      </w:r>
      <w:proofErr w:type="gramEnd"/>
      <w:r w:rsidRPr="004D3BFF">
        <w:rPr>
          <w:szCs w:val="22"/>
        </w:rPr>
        <w:t xml:space="preserve"> you will need to log to </w:t>
      </w:r>
      <w:hyperlink r:id="rId29" w:history="1">
        <w:r w:rsidRPr="004D3BFF">
          <w:rPr>
            <w:rStyle w:val="Hyperlink"/>
            <w:szCs w:val="22"/>
          </w:rPr>
          <w:t>https://lms.tamu.edu</w:t>
        </w:r>
      </w:hyperlink>
      <w:r w:rsidRPr="004D3BFF">
        <w:rPr>
          <w:szCs w:val="22"/>
        </w:rPr>
        <w:t xml:space="preserve"> and use your</w:t>
      </w:r>
      <w:r w:rsidRPr="004D3BFF">
        <w:rPr>
          <w:b/>
          <w:bCs/>
          <w:i/>
          <w:iCs/>
          <w:szCs w:val="22"/>
        </w:rPr>
        <w:t xml:space="preserve"> NetID</w:t>
      </w:r>
      <w:r w:rsidR="006D6D98" w:rsidRPr="004D3BFF">
        <w:rPr>
          <w:b/>
          <w:bCs/>
          <w:i/>
          <w:iCs/>
          <w:szCs w:val="22"/>
        </w:rPr>
        <w:t xml:space="preserve"> </w:t>
      </w:r>
      <w:r w:rsidR="006D6D98" w:rsidRPr="004D3BFF">
        <w:rPr>
          <w:bCs/>
          <w:i/>
          <w:iCs/>
          <w:szCs w:val="22"/>
        </w:rPr>
        <w:t>(the same as your Howdy login)</w:t>
      </w:r>
      <w:r w:rsidRPr="004D3BFF">
        <w:rPr>
          <w:bCs/>
          <w:i/>
          <w:iCs/>
          <w:szCs w:val="22"/>
        </w:rPr>
        <w:t>.</w:t>
      </w:r>
      <w:r w:rsidRPr="004D3BFF">
        <w:rPr>
          <w:b/>
          <w:bCs/>
          <w:i/>
          <w:iCs/>
          <w:szCs w:val="22"/>
        </w:rPr>
        <w:t xml:space="preserve"> </w:t>
      </w:r>
      <w:r w:rsidRPr="004D3BFF">
        <w:rPr>
          <w:szCs w:val="22"/>
        </w:rPr>
        <w:t xml:space="preserve">Review the </w:t>
      </w:r>
      <w:hyperlink r:id="rId30" w:history="1">
        <w:r w:rsidRPr="004D3BFF">
          <w:rPr>
            <w:rStyle w:val="Hyperlink"/>
            <w:szCs w:val="22"/>
          </w:rPr>
          <w:t>Canvas Tutorials for students</w:t>
        </w:r>
      </w:hyperlink>
      <w:r w:rsidRPr="004D3BFF">
        <w:rPr>
          <w:szCs w:val="22"/>
        </w:rPr>
        <w:t xml:space="preserve"> the </w:t>
      </w:r>
      <w:hyperlink r:id="rId31" w:history="1">
        <w:r w:rsidRPr="004D3BFF">
          <w:rPr>
            <w:rStyle w:val="Hyperlink"/>
            <w:szCs w:val="22"/>
          </w:rPr>
          <w:t>Keep Learning site</w:t>
        </w:r>
      </w:hyperlink>
      <w:r w:rsidRPr="004D3BFF">
        <w:rPr>
          <w:szCs w:val="22"/>
        </w:rPr>
        <w:t xml:space="preserve"> for more information on how to use this LMS.</w:t>
      </w:r>
    </w:p>
    <w:p w14:paraId="0276CB44" w14:textId="61B90517" w:rsidR="000C7FB0" w:rsidRPr="00AD6F46" w:rsidRDefault="000C7FB0" w:rsidP="000C7FB0">
      <w:pPr>
        <w:rPr>
          <w:szCs w:val="22"/>
        </w:rPr>
      </w:pPr>
      <w:r w:rsidRPr="00AD6F46">
        <w:rPr>
          <w:b/>
          <w:bCs/>
          <w:szCs w:val="22"/>
        </w:rPr>
        <w:t xml:space="preserve">Computer Requirements </w:t>
      </w:r>
    </w:p>
    <w:p w14:paraId="2C72AFEA" w14:textId="77777777" w:rsidR="008E274A" w:rsidRPr="00AD6F46" w:rsidRDefault="008E274A" w:rsidP="008E274A">
      <w:pPr>
        <w:rPr>
          <w:szCs w:val="22"/>
        </w:rPr>
      </w:pPr>
      <w:r w:rsidRPr="00AD6F46">
        <w:rPr>
          <w:szCs w:val="22"/>
        </w:rPr>
        <w:t xml:space="preserve">The University has established minimum computing requirements; additional information can be found at: </w:t>
      </w:r>
      <w:hyperlink r:id="rId32" w:history="1">
        <w:r w:rsidRPr="00AD6F46">
          <w:rPr>
            <w:rStyle w:val="Hyperlink"/>
            <w:szCs w:val="22"/>
          </w:rPr>
          <w:t>https://it.tamu.edu/services/academics-and-research/teaching-and-learning-tools/computer-requirements/</w:t>
        </w:r>
      </w:hyperlink>
    </w:p>
    <w:p w14:paraId="46D361C0" w14:textId="77777777" w:rsidR="008E274A" w:rsidRPr="00AD6F46" w:rsidRDefault="008E274A" w:rsidP="008E274A">
      <w:pPr>
        <w:rPr>
          <w:szCs w:val="22"/>
        </w:rPr>
      </w:pPr>
      <w:r w:rsidRPr="00AD6F46">
        <w:rPr>
          <w:szCs w:val="22"/>
        </w:rPr>
        <w:t xml:space="preserve">In addition, minimum technical requirements outlined for the School of Public Health can be found at:  </w:t>
      </w:r>
      <w:hyperlink r:id="rId33" w:history="1">
        <w:r w:rsidRPr="00AD6F46">
          <w:rPr>
            <w:rStyle w:val="Hyperlink"/>
            <w:szCs w:val="22"/>
          </w:rPr>
          <w:t>https://public-health.tamu.edu/academic-tech/com-requirement.html</w:t>
        </w:r>
      </w:hyperlink>
    </w:p>
    <w:p w14:paraId="62DBF7C8" w14:textId="77777777" w:rsidR="000C7FB0" w:rsidRPr="00AD6F46" w:rsidRDefault="000C7FB0" w:rsidP="000C7FB0">
      <w:pPr>
        <w:rPr>
          <w:szCs w:val="22"/>
        </w:rPr>
      </w:pPr>
      <w:r w:rsidRPr="00AD6F46">
        <w:rPr>
          <w:szCs w:val="22"/>
        </w:rPr>
        <w:t xml:space="preserve">For technical support, contact </w:t>
      </w:r>
      <w:proofErr w:type="spellStart"/>
      <w:r w:rsidRPr="00AD6F46">
        <w:rPr>
          <w:rStyle w:val="spelle"/>
          <w:szCs w:val="22"/>
        </w:rPr>
        <w:t>HelpDesk</w:t>
      </w:r>
      <w:proofErr w:type="spellEnd"/>
      <w:r w:rsidRPr="00AD6F46">
        <w:rPr>
          <w:szCs w:val="22"/>
        </w:rPr>
        <w:t xml:space="preserve">  </w:t>
      </w:r>
      <w:hyperlink r:id="rId34" w:history="1">
        <w:r w:rsidRPr="00AD6F46">
          <w:rPr>
            <w:rStyle w:val="Hyperlink"/>
            <w:szCs w:val="22"/>
          </w:rPr>
          <w:t>hdc@tamu.edu</w:t>
        </w:r>
      </w:hyperlink>
      <w:r w:rsidRPr="00AD6F46">
        <w:rPr>
          <w:szCs w:val="22"/>
        </w:rPr>
        <w:t xml:space="preserve">, or phone to (979) 845-8300 </w:t>
      </w:r>
    </w:p>
    <w:p w14:paraId="23FAFB04" w14:textId="3BA0493E" w:rsidR="000C7FB0" w:rsidRDefault="000C7FB0" w:rsidP="000C7FB0">
      <w:pPr>
        <w:rPr>
          <w:szCs w:val="22"/>
        </w:rPr>
      </w:pPr>
      <w:r w:rsidRPr="00AD6F46">
        <w:rPr>
          <w:b/>
          <w:bCs/>
          <w:szCs w:val="22"/>
        </w:rPr>
        <w:t xml:space="preserve">Important!!!   </w:t>
      </w:r>
      <w:r w:rsidRPr="00AD6F46">
        <w:rPr>
          <w:szCs w:val="22"/>
        </w:rPr>
        <w:t>Save your work as you go along. Nothing is more discouraging than to lose an assignment due to a computer hang ups! You may want to also make hard copies of your work to have "proof" and save yourself time and trouble!</w:t>
      </w:r>
    </w:p>
    <w:p w14:paraId="502B06A1" w14:textId="49C80C01" w:rsidR="00C12FD2" w:rsidRPr="00D151F1" w:rsidRDefault="00C12FD2" w:rsidP="00F140F8">
      <w:pPr>
        <w:pStyle w:val="Heading1"/>
      </w:pPr>
      <w:r w:rsidRPr="00F140F8">
        <w:t>Academic Integrity</w:t>
      </w:r>
    </w:p>
    <w:p w14:paraId="19F29FEC" w14:textId="77777777" w:rsidR="00F140F8" w:rsidRPr="00C37313" w:rsidRDefault="00F140F8" w:rsidP="00F140F8">
      <w:r w:rsidRPr="00C37313">
        <w:t>“An Aggie does not lie, cheat or steal, or tolerate those who do.”</w:t>
      </w:r>
    </w:p>
    <w:p w14:paraId="3D2116BB" w14:textId="77777777" w:rsidR="00F140F8" w:rsidRPr="000A6FE9" w:rsidRDefault="00F140F8" w:rsidP="00F140F8">
      <w:r w:rsidRPr="000A6FE9">
        <w:t xml:space="preserve">“Texas A&amp;M University students are responsible for authenticating all work submitted to an instructor. If asked, students must be able to produce proof that the item submitted is indeed the work of that student. Students must </w:t>
      </w:r>
      <w:proofErr w:type="gramStart"/>
      <w:r w:rsidRPr="000A6FE9">
        <w:t>keep appropriate records at all times</w:t>
      </w:r>
      <w:proofErr w:type="gramEnd"/>
      <w:r w:rsidRPr="000A6FE9">
        <w:t>. The inability to authenticate one’s work, should the instructor request it, may be sufficient grounds to initiate an academic misconduct case” (</w:t>
      </w:r>
      <w:hyperlink r:id="rId35" w:history="1">
        <w:r w:rsidRPr="000A6FE9">
          <w:rPr>
            <w:rStyle w:val="Hyperlink"/>
          </w:rPr>
          <w:t>Section 20.1.2.3, Student Rule 20</w:t>
        </w:r>
      </w:hyperlink>
      <w:r w:rsidRPr="000A6FE9">
        <w:t>).</w:t>
      </w:r>
    </w:p>
    <w:p w14:paraId="5F5BB1DA" w14:textId="77777777" w:rsidR="00F140F8" w:rsidRPr="000A6FE9" w:rsidRDefault="00F140F8" w:rsidP="00F140F8">
      <w:r w:rsidRPr="000A6FE9">
        <w:t xml:space="preserve">You can learn more about the Aggie Honor System Office Rules and Procedures, academic integrity, and your rights and responsibilities at </w:t>
      </w:r>
      <w:hyperlink r:id="rId36" w:history="1">
        <w:r>
          <w:rPr>
            <w:rStyle w:val="Hyperlink"/>
          </w:rPr>
          <w:t>aggiehonor.tamu.edu</w:t>
        </w:r>
      </w:hyperlink>
      <w:r w:rsidRPr="000A6FE9">
        <w:t>.</w:t>
      </w:r>
    </w:p>
    <w:p w14:paraId="62FBD32C" w14:textId="77777777" w:rsidR="00DA5179" w:rsidRPr="00473681" w:rsidRDefault="00DA5179" w:rsidP="000C7FB0">
      <w:pPr>
        <w:rPr>
          <w:rFonts w:cs="Times New Roman"/>
        </w:rPr>
      </w:pPr>
      <w:r w:rsidRPr="00473681">
        <w:rPr>
          <w:rFonts w:cs="Times New Roman"/>
        </w:rPr>
        <w:t xml:space="preserve">Students are encouraged to view two short videos at: </w:t>
      </w:r>
      <w:hyperlink r:id="rId37" w:history="1">
        <w:r w:rsidRPr="00473681">
          <w:rPr>
            <w:rStyle w:val="Hyperlink"/>
            <w:rFonts w:cs="Times New Roman"/>
          </w:rPr>
          <w:t>https://aggiehonor.tamu.edu/Student-Resources/AHSO-Videos</w:t>
        </w:r>
      </w:hyperlink>
    </w:p>
    <w:p w14:paraId="63CFC4D5" w14:textId="163E1624" w:rsidR="00DA5179" w:rsidRDefault="00DA5179" w:rsidP="000C7FB0">
      <w:pPr>
        <w:pStyle w:val="Default"/>
        <w:rPr>
          <w:rStyle w:val="Hyperlink"/>
          <w:rFonts w:ascii="Times New Roman" w:hAnsi="Times New Roman" w:cs="Times New Roman"/>
          <w:sz w:val="22"/>
          <w:szCs w:val="22"/>
        </w:rPr>
      </w:pPr>
      <w:r w:rsidRPr="004D3BFF">
        <w:rPr>
          <w:rFonts w:ascii="Times New Roman" w:hAnsi="Times New Roman" w:cs="Times New Roman"/>
          <w:sz w:val="22"/>
          <w:szCs w:val="22"/>
        </w:rPr>
        <w:t xml:space="preserve">As well as review available materials and examples of academic dishonesty found </w:t>
      </w:r>
      <w:r w:rsidR="006D6D98" w:rsidRPr="004D3BFF">
        <w:rPr>
          <w:rFonts w:ascii="Times New Roman" w:hAnsi="Times New Roman" w:cs="Times New Roman"/>
          <w:sz w:val="22"/>
          <w:szCs w:val="22"/>
        </w:rPr>
        <w:t>on the Texas A&amp;M University Libraries page on Academic Integrity and Plagiarism a</w:t>
      </w:r>
      <w:r w:rsidRPr="004D3BFF">
        <w:rPr>
          <w:rFonts w:ascii="Times New Roman" w:hAnsi="Times New Roman" w:cs="Times New Roman"/>
          <w:sz w:val="22"/>
          <w:szCs w:val="22"/>
        </w:rPr>
        <w:t xml:space="preserve">t: </w:t>
      </w:r>
      <w:hyperlink r:id="rId38" w:history="1">
        <w:r w:rsidRPr="004D3BFF">
          <w:rPr>
            <w:rStyle w:val="Hyperlink"/>
            <w:rFonts w:ascii="Times New Roman" w:hAnsi="Times New Roman" w:cs="Times New Roman"/>
            <w:sz w:val="22"/>
            <w:szCs w:val="22"/>
          </w:rPr>
          <w:t>https://library.tamu.edu/services/library_tutorials/academic_integrity/index.html</w:t>
        </w:r>
      </w:hyperlink>
    </w:p>
    <w:p w14:paraId="34D52A3A" w14:textId="77777777" w:rsidR="005D7251" w:rsidRDefault="005D7251" w:rsidP="00F140F8">
      <w:pPr>
        <w:pStyle w:val="Heading1"/>
      </w:pPr>
      <w:r>
        <w:t>Americans with Disabilities Act (ADA) Policy</w:t>
      </w:r>
    </w:p>
    <w:p w14:paraId="51EB05D7" w14:textId="261F1D91" w:rsidR="005D7251" w:rsidRDefault="005D7251" w:rsidP="005D7251">
      <w:r w:rsidRPr="000A6FE9">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(979) 845-1637 or visit </w:t>
      </w:r>
      <w:hyperlink r:id="rId39" w:history="1">
        <w:r>
          <w:rPr>
            <w:rStyle w:val="Hyperlink"/>
          </w:rPr>
          <w:t>disability.tamu.edu</w:t>
        </w:r>
      </w:hyperlink>
      <w:r w:rsidRPr="000A6FE9">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12BE028B" w14:textId="77777777" w:rsidR="00812406" w:rsidRDefault="00812406" w:rsidP="005D7251"/>
    <w:p w14:paraId="7C9C660C" w14:textId="77777777" w:rsidR="005D7251" w:rsidRDefault="005D7251" w:rsidP="00F140F8">
      <w:pPr>
        <w:pStyle w:val="Heading1"/>
      </w:pPr>
      <w:r>
        <w:lastRenderedPageBreak/>
        <w:t>Title IX and Statement on Limits to Confidentiality</w:t>
      </w:r>
    </w:p>
    <w:p w14:paraId="08D0A47A" w14:textId="77777777" w:rsidR="005D7251" w:rsidRPr="000420DD" w:rsidRDefault="005D7251" w:rsidP="005D7251">
      <w:r w:rsidRPr="000420DD">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14:paraId="625956D6" w14:textId="77777777" w:rsidR="005D7251" w:rsidRPr="000420DD" w:rsidRDefault="005D7251" w:rsidP="005D7251">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40" w:history="1">
        <w:r w:rsidRPr="000420DD">
          <w:rPr>
            <w:rStyle w:val="Hyperlink"/>
          </w:rPr>
          <w:t>University Rule 08.01.01.M1</w:t>
        </w:r>
      </w:hyperlink>
      <w:r w:rsidRPr="000420DD">
        <w:t>):</w:t>
      </w:r>
    </w:p>
    <w:p w14:paraId="7E96CCAA" w14:textId="77777777" w:rsidR="005D7251" w:rsidRPr="000420DD" w:rsidRDefault="005D7251" w:rsidP="005D7251">
      <w:pPr>
        <w:pStyle w:val="ListParagraph"/>
        <w:numPr>
          <w:ilvl w:val="0"/>
          <w:numId w:val="4"/>
        </w:numPr>
      </w:pPr>
      <w:r w:rsidRPr="000420DD">
        <w:t xml:space="preserve">The incident is reasonably believed to be discrimination or harassment. </w:t>
      </w:r>
    </w:p>
    <w:p w14:paraId="7A369462" w14:textId="77777777" w:rsidR="005D7251" w:rsidRPr="000420DD" w:rsidRDefault="005D7251" w:rsidP="005D7251">
      <w:pPr>
        <w:pStyle w:val="ListParagraph"/>
        <w:numPr>
          <w:ilvl w:val="0"/>
          <w:numId w:val="4"/>
        </w:numPr>
      </w:pPr>
      <w:r w:rsidRPr="000420DD">
        <w:t>The incident is alleged to have been committed by or against a person who, at the time of the incident, was (1) a student enrolled at the University or (2) an employee of the University.</w:t>
      </w:r>
      <w:r>
        <w:t xml:space="preserve"> </w:t>
      </w:r>
    </w:p>
    <w:p w14:paraId="3C2FF923" w14:textId="77777777" w:rsidR="005D7251" w:rsidRPr="000420DD" w:rsidRDefault="005D7251" w:rsidP="005D7251">
      <w:r w:rsidRPr="000420DD">
        <w:t>Mandatory Reporters must file a report regardless of how the information comes to their attention – including but not limited to face-to-face conversations, a written class assignment or paper, class discussion, email, text, or social media post.</w:t>
      </w:r>
      <w:r>
        <w:t xml:space="preserve"> </w:t>
      </w:r>
      <w:r w:rsidRPr="000420DD">
        <w:t xml:space="preserve">Although Mandatory Reporters must file a report, in most instances, you will be able to control how the report is handled, including </w:t>
      </w:r>
      <w:proofErr w:type="gramStart"/>
      <w:r w:rsidRPr="000420DD">
        <w:t>whether or not</w:t>
      </w:r>
      <w:proofErr w:type="gramEnd"/>
      <w:r w:rsidRPr="000420DD">
        <w:t xml:space="preserve"> to pursue a formal investigation. The University’s goal is to make sure you are aware of the range of options available to you and to ensure access to the resources you need.</w:t>
      </w:r>
    </w:p>
    <w:p w14:paraId="10A81616" w14:textId="77777777" w:rsidR="005D7251" w:rsidRPr="000420DD" w:rsidRDefault="005D7251" w:rsidP="005D7251">
      <w:r w:rsidRPr="000420DD">
        <w:t xml:space="preserve">Students wishing to discuss concerns in a confidential setting are encouraged to make an appointment with </w:t>
      </w:r>
      <w:hyperlink r:id="rId41" w:history="1">
        <w:r w:rsidRPr="000420DD">
          <w:rPr>
            <w:rStyle w:val="Hyperlink"/>
          </w:rPr>
          <w:t>Counseling and Psychological Services</w:t>
        </w:r>
      </w:hyperlink>
      <w:r w:rsidRPr="000420DD">
        <w:t xml:space="preserve"> (CAPS).</w:t>
      </w:r>
      <w:r>
        <w:t xml:space="preserve"> </w:t>
      </w:r>
    </w:p>
    <w:p w14:paraId="64872735" w14:textId="77777777" w:rsidR="005D7251" w:rsidRPr="000420DD" w:rsidRDefault="005D7251" w:rsidP="005D7251">
      <w:r w:rsidRPr="000420DD">
        <w:t xml:space="preserve">Students can learn more about filing a report, accessing supportive resources, and navigating the Title IX investigation and resolution process on the University’s </w:t>
      </w:r>
      <w:hyperlink r:id="rId42" w:history="1">
        <w:r w:rsidRPr="000420DD">
          <w:rPr>
            <w:rStyle w:val="Hyperlink"/>
          </w:rPr>
          <w:t>Title IX webpage</w:t>
        </w:r>
      </w:hyperlink>
      <w:r w:rsidRPr="000420DD">
        <w:t>.</w:t>
      </w:r>
    </w:p>
    <w:p w14:paraId="5A4D805A" w14:textId="77777777" w:rsidR="005D7251" w:rsidRPr="00F140F8" w:rsidRDefault="005D7251" w:rsidP="00F140F8">
      <w:pPr>
        <w:pStyle w:val="Heading1"/>
      </w:pPr>
      <w:r w:rsidRPr="00F140F8">
        <w:t>Statement on Mental Health and Wellness</w:t>
      </w:r>
    </w:p>
    <w:p w14:paraId="3EB6A952" w14:textId="3D3BADC1" w:rsidR="003C74CE" w:rsidRDefault="005D7251" w:rsidP="003C74CE">
      <w:r w:rsidRPr="00A60155">
        <w:t xml:space="preserve">Texas A&amp;M University recognizes that mental health and wellness are critical factors that influence a student’s academic success and overall wellbeing. Students are encouraged to engage in proper self-care by utilizing the resources and services available from Counseling &amp; Psychological Services (CAPS). Students who need someone to talk to can call the TAMU Helpline (979-845-2700) from 4:00 p.m. to 8:00 a.m. weekdays and 24 hours on weekends. 24-hour emergency help is also available through the National Suicide Prevention Hotline (800-273-8255) or at </w:t>
      </w:r>
      <w:hyperlink r:id="rId43" w:history="1">
        <w:r>
          <w:rPr>
            <w:rStyle w:val="Hyperlink"/>
          </w:rPr>
          <w:t>suicidepreventionlifeline.org</w:t>
        </w:r>
      </w:hyperlink>
      <w:r w:rsidRPr="00A60155">
        <w:t>.</w:t>
      </w:r>
      <w:r>
        <w:t xml:space="preserve"> </w:t>
      </w:r>
    </w:p>
    <w:p w14:paraId="008A7EAB" w14:textId="77777777" w:rsidR="003C74CE" w:rsidRDefault="003C74CE" w:rsidP="003C74CE">
      <w:pPr>
        <w:pStyle w:val="paragraph"/>
        <w:shd w:val="clear" w:color="auto" w:fill="5A0000"/>
        <w:spacing w:before="0" w:beforeAutospacing="0" w:after="0" w:afterAutospacing="0"/>
        <w:textAlignment w:val="baseline"/>
        <w:rPr>
          <w:rFonts w:ascii="Segoe UI" w:hAnsi="Segoe UI" w:cs="Segoe UI"/>
          <w:b/>
          <w:bCs/>
          <w:caps/>
          <w:color w:val="FFFFFF"/>
          <w:sz w:val="18"/>
          <w:szCs w:val="18"/>
        </w:rPr>
      </w:pPr>
      <w:r>
        <w:rPr>
          <w:rStyle w:val="normaltextrun"/>
          <w:rFonts w:ascii="Times New Roman" w:hAnsi="Times New Roman" w:cs="Times New Roman"/>
          <w:b/>
          <w:bCs/>
          <w:caps/>
          <w:color w:val="FFFFFF"/>
          <w:shd w:val="clear" w:color="auto" w:fill="5A0000"/>
        </w:rPr>
        <w:t>COVID-19 STATEMENT</w:t>
      </w:r>
      <w:r>
        <w:rPr>
          <w:rStyle w:val="eop"/>
          <w:rFonts w:ascii="Times New Roman" w:hAnsi="Times New Roman" w:cs="Times New Roman"/>
          <w:b/>
          <w:bCs/>
          <w:caps/>
          <w:color w:val="FFFFFF"/>
        </w:rPr>
        <w:t> </w:t>
      </w:r>
    </w:p>
    <w:p w14:paraId="5C2A0B5C" w14:textId="77777777" w:rsidR="003C74CE" w:rsidRDefault="003C74CE" w:rsidP="003C74CE">
      <w:pPr>
        <w:rPr>
          <w:rFonts w:ascii="Segoe UI" w:hAnsi="Segoe UI" w:cs="Segoe UI"/>
          <w:sz w:val="18"/>
          <w:szCs w:val="18"/>
        </w:rPr>
      </w:pPr>
      <w:r>
        <w:rPr>
          <w:rStyle w:val="normaltextrun"/>
          <w:rFonts w:cs="Times New Roman"/>
          <w:color w:val="000000"/>
        </w:rPr>
        <w:t>To help protect Aggieland and stop the spread of COVID-19, Texas A&amp;M University urges students to be vaccinated and to wear masks in classrooms and all other academic facilities on campus, including labs.  Doing so exemplifies the Aggie Core Values of respect, leadership, integrity, and selfless service by putting community concerns above individual preferences. COVID-19 vaccines and masking — regardless of vaccination status — have been shown to be safe and effective at reducing spread to others, infection, hospitalization, and death.</w:t>
      </w:r>
      <w:r>
        <w:rPr>
          <w:rStyle w:val="eop"/>
          <w:rFonts w:cs="Times New Roman"/>
          <w:color w:val="000000"/>
        </w:rPr>
        <w:t> </w:t>
      </w:r>
    </w:p>
    <w:p w14:paraId="5402ACD3" w14:textId="77777777" w:rsidR="003C74CE" w:rsidRDefault="003C74CE" w:rsidP="003C74CE">
      <w:pPr>
        <w:pStyle w:val="paragraph"/>
        <w:shd w:val="clear" w:color="auto" w:fill="5A0000"/>
        <w:spacing w:before="0" w:beforeAutospacing="0" w:after="0" w:afterAutospacing="0"/>
        <w:textAlignment w:val="baseline"/>
        <w:rPr>
          <w:rFonts w:ascii="Segoe UI" w:hAnsi="Segoe UI" w:cs="Segoe UI"/>
          <w:b/>
          <w:bCs/>
          <w:caps/>
          <w:color w:val="FFFFFF"/>
          <w:sz w:val="18"/>
          <w:szCs w:val="18"/>
        </w:rPr>
      </w:pPr>
      <w:r>
        <w:rPr>
          <w:rStyle w:val="normaltextrun"/>
          <w:rFonts w:ascii="Times New Roman" w:hAnsi="Times New Roman" w:cs="Times New Roman"/>
          <w:caps/>
          <w:color w:val="FFFFFF"/>
          <w:shd w:val="clear" w:color="auto" w:fill="5A0000"/>
        </w:rPr>
        <w:t>F</w:t>
      </w:r>
      <w:r>
        <w:rPr>
          <w:rStyle w:val="normaltextrun"/>
          <w:rFonts w:ascii="Times New Roman" w:hAnsi="Times New Roman" w:cs="Times New Roman"/>
          <w:b/>
          <w:bCs/>
          <w:caps/>
          <w:color w:val="FFFFFF"/>
          <w:shd w:val="clear" w:color="auto" w:fill="5A0000"/>
        </w:rPr>
        <w:t>EDERAL EDUCATION RIGHTS &amp; PRIVACY ACT (FERPA)</w:t>
      </w:r>
      <w:r>
        <w:rPr>
          <w:rStyle w:val="eop"/>
          <w:rFonts w:ascii="Times New Roman" w:hAnsi="Times New Roman" w:cs="Times New Roman"/>
          <w:b/>
          <w:bCs/>
          <w:caps/>
          <w:color w:val="FFFFFF"/>
        </w:rPr>
        <w:t> </w:t>
      </w:r>
    </w:p>
    <w:p w14:paraId="05AD0F3F" w14:textId="77777777" w:rsidR="003C74CE" w:rsidRDefault="003C74CE" w:rsidP="003C74CE">
      <w:pPr>
        <w:rPr>
          <w:rFonts w:ascii="Segoe UI" w:hAnsi="Segoe UI" w:cs="Segoe UI"/>
          <w:sz w:val="18"/>
          <w:szCs w:val="18"/>
        </w:rPr>
      </w:pPr>
      <w:r>
        <w:rPr>
          <w:rStyle w:val="normaltextrun"/>
          <w:rFonts w:cs="Times New Roman"/>
          <w:color w:val="000000"/>
        </w:rPr>
        <w:t>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Pr>
          <w:rStyle w:val="normaltextrun"/>
          <w:rFonts w:cs="Times New Roman"/>
          <w:color w:val="333333"/>
        </w:rPr>
        <w:t>Currently enrolled students wishing to withhold any or all directory information items may do so by going to </w:t>
      </w:r>
      <w:hyperlink r:id="rId44" w:tgtFrame="_blank" w:history="1">
        <w:r>
          <w:rPr>
            <w:rStyle w:val="normaltextrun"/>
            <w:rFonts w:cs="Times New Roman"/>
            <w:color w:val="0563C1"/>
            <w:u w:val="single"/>
          </w:rPr>
          <w:t>howdy.tamu.edu </w:t>
        </w:r>
      </w:hyperlink>
      <w:r>
        <w:rPr>
          <w:rStyle w:val="normaltextrun"/>
          <w:rFonts w:cs="Times New Roman"/>
          <w:color w:val="333333"/>
        </w:rPr>
        <w:t xml:space="preserve">and clicking on the "Directory Hold </w:t>
      </w:r>
      <w:r>
        <w:rPr>
          <w:rStyle w:val="normaltextrun"/>
          <w:rFonts w:cs="Times New Roman"/>
          <w:color w:val="333333"/>
        </w:rPr>
        <w:lastRenderedPageBreak/>
        <w:t>Information" link in the Student Records channel on the </w:t>
      </w:r>
      <w:proofErr w:type="spellStart"/>
      <w:r>
        <w:rPr>
          <w:rStyle w:val="normaltextrun"/>
          <w:rFonts w:cs="Times New Roman"/>
          <w:color w:val="333333"/>
        </w:rPr>
        <w:t>MyRecord</w:t>
      </w:r>
      <w:proofErr w:type="spellEnd"/>
      <w:r>
        <w:rPr>
          <w:rStyle w:val="normaltextrun"/>
          <w:rFonts w:cs="Times New Roman"/>
          <w:color w:val="333333"/>
        </w:rPr>
        <w:t> tab. The complete </w:t>
      </w:r>
      <w:hyperlink r:id="rId45" w:anchor="0-StatementofRights" w:tgtFrame="_blank" w:history="1">
        <w:r>
          <w:rPr>
            <w:rStyle w:val="normaltextrun"/>
            <w:rFonts w:cs="Times New Roman"/>
            <w:color w:val="0563C1"/>
            <w:u w:val="single"/>
          </w:rPr>
          <w:t>FERPA Notice to Students</w:t>
        </w:r>
      </w:hyperlink>
      <w:r>
        <w:rPr>
          <w:rStyle w:val="normaltextrun"/>
          <w:rFonts w:cs="Times New Roman"/>
          <w:color w:val="333333"/>
        </w:rPr>
        <w:t> and the student records policy is available on the Office of the Registrar webpage.</w:t>
      </w:r>
      <w:r>
        <w:rPr>
          <w:rStyle w:val="normaltextrun"/>
          <w:rFonts w:cs="Times New Roman"/>
          <w:color w:val="000000"/>
        </w:rPr>
        <w:t> </w:t>
      </w:r>
      <w:r>
        <w:rPr>
          <w:rStyle w:val="eop"/>
          <w:rFonts w:cs="Times New Roman"/>
          <w:color w:val="000000"/>
        </w:rPr>
        <w:t> </w:t>
      </w:r>
    </w:p>
    <w:p w14:paraId="5B2E8946" w14:textId="77777777" w:rsidR="003C74CE" w:rsidRDefault="003C74CE" w:rsidP="003C74CE">
      <w:pPr>
        <w:rPr>
          <w:rFonts w:ascii="Segoe UI" w:hAnsi="Segoe UI" w:cs="Segoe UI"/>
          <w:sz w:val="18"/>
          <w:szCs w:val="18"/>
        </w:rPr>
      </w:pPr>
      <w:r>
        <w:rPr>
          <w:rStyle w:val="normaltextrun"/>
          <w:rFonts w:cs="Times New Roman"/>
          <w:color w:val="00000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r>
        <w:rPr>
          <w:rStyle w:val="eop"/>
          <w:rFonts w:cs="Times New Roman"/>
          <w:color w:val="000000"/>
        </w:rPr>
        <w:t> </w:t>
      </w:r>
    </w:p>
    <w:p w14:paraId="235534C6" w14:textId="77777777" w:rsidR="003C74CE" w:rsidRDefault="003C74CE" w:rsidP="003C74CE">
      <w:pPr>
        <w:rPr>
          <w:rFonts w:ascii="Segoe UI" w:hAnsi="Segoe UI" w:cs="Segoe UI"/>
          <w:sz w:val="18"/>
          <w:szCs w:val="18"/>
        </w:rPr>
      </w:pPr>
      <w:r>
        <w:rPr>
          <w:rStyle w:val="normaltextrun"/>
          <w:rFonts w:cs="Times New Roman"/>
          <w:color w:val="000000"/>
        </w:rPr>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r>
        <w:rPr>
          <w:rStyle w:val="eop"/>
          <w:rFonts w:cs="Times New Roman"/>
          <w:color w:val="000000"/>
        </w:rPr>
        <w:t> </w:t>
      </w:r>
    </w:p>
    <w:p w14:paraId="1C72230F" w14:textId="77777777" w:rsidR="009E6787" w:rsidRPr="00D45ECC" w:rsidRDefault="009E6787" w:rsidP="009E6787">
      <w:pPr>
        <w:pStyle w:val="Heading1"/>
      </w:pPr>
      <w:r w:rsidRPr="00F140F8">
        <w:t>Equal Opportunity Statement</w:t>
      </w:r>
    </w:p>
    <w:p w14:paraId="61B7A640" w14:textId="136BC01D" w:rsidR="009E6787" w:rsidRDefault="009E6787" w:rsidP="009E6787">
      <w:pPr>
        <w:rPr>
          <w:rStyle w:val="apple-converted-space"/>
          <w:rFonts w:cs="Times New Roman"/>
        </w:rPr>
      </w:pPr>
      <w:r w:rsidRPr="00A46E77">
        <w:rPr>
          <w:rFonts w:cs="Times New Roman"/>
          <w:bdr w:val="none" w:sz="0" w:space="0" w:color="auto" w:frame="1"/>
        </w:rPr>
        <w:t>Texas A&amp;M University is an Equal Opportunity/Affirmative</w:t>
      </w:r>
      <w:r w:rsidRPr="00A46E77">
        <w:rPr>
          <w:rStyle w:val="apple-converted-space"/>
          <w:rFonts w:cs="Times New Roman"/>
        </w:rPr>
        <w:t> </w:t>
      </w:r>
      <w:r w:rsidRPr="00A46E77">
        <w:rPr>
          <w:rFonts w:cs="Times New Roman"/>
          <w:bdr w:val="none" w:sz="0" w:space="0" w:color="auto" w:frame="1"/>
        </w:rPr>
        <w:t>Action/Veterans/Disability</w:t>
      </w:r>
      <w:r w:rsidRPr="00A46E77">
        <w:rPr>
          <w:rStyle w:val="apple-converted-space"/>
          <w:rFonts w:cs="Times New Roman"/>
        </w:rPr>
        <w:t> </w:t>
      </w:r>
      <w:r w:rsidRPr="00A46E77">
        <w:rPr>
          <w:rFonts w:cs="Times New Roman"/>
        </w:rPr>
        <w:t>Employer committed to diversity.</w:t>
      </w:r>
      <w:r w:rsidRPr="00A46E77">
        <w:rPr>
          <w:rStyle w:val="apple-converted-space"/>
          <w:rFonts w:cs="Times New Roman"/>
        </w:rPr>
        <w:t> Inquiries regarding nondiscrimination policies may be directed to the Human Resources by phone at 979-845-4141 or to Texas A&amp;M University Division of Human Resources and Organizational Effectiveness, 750 Agronomy Road, General Services Complex Suite 1201, College Station, TX 77843-1255.</w:t>
      </w:r>
    </w:p>
    <w:p w14:paraId="2C32DDE6" w14:textId="77777777" w:rsidR="009E6787" w:rsidRPr="00F140F8" w:rsidRDefault="009E6787" w:rsidP="009E6787">
      <w:pPr>
        <w:pStyle w:val="Heading1"/>
      </w:pPr>
      <w:r w:rsidRPr="00F140F8">
        <w:t>School of Public Health Mission</w:t>
      </w:r>
    </w:p>
    <w:p w14:paraId="36777EF9" w14:textId="77777777" w:rsidR="009E6787" w:rsidRPr="00C12FD2" w:rsidRDefault="009E6787" w:rsidP="009E6787">
      <w:r w:rsidRPr="00C12FD2">
        <w:t>The Texas A&amp;M School of Public Health is committed to transforming health through interdisciplinary inquiry, innovative solutions, and development of leaders through the Aggie tradition of service to engage diverse communities worldwide.</w:t>
      </w:r>
    </w:p>
    <w:p w14:paraId="7A2FE863" w14:textId="77777777" w:rsidR="009E6787" w:rsidRPr="00D45ECC" w:rsidRDefault="009E6787" w:rsidP="009E6787">
      <w:pPr>
        <w:pStyle w:val="Heading1"/>
      </w:pPr>
      <w:r w:rsidRPr="009E6787">
        <w:t>Course Evaluation</w:t>
      </w:r>
    </w:p>
    <w:p w14:paraId="1AF322AA" w14:textId="77777777" w:rsidR="009E6787" w:rsidRPr="00F54C54" w:rsidRDefault="009E6787" w:rsidP="009E6787">
      <w:pPr>
        <w:pStyle w:val="CM8"/>
        <w:spacing w:after="190"/>
        <w:rPr>
          <w:sz w:val="22"/>
          <w:szCs w:val="22"/>
        </w:rPr>
      </w:pPr>
      <w:r w:rsidRPr="00F54C54">
        <w:rPr>
          <w:sz w:val="22"/>
          <w:szCs w:val="20"/>
        </w:rPr>
        <w:t xml:space="preserve">Constructive feedback from students on course evaluations is </w:t>
      </w:r>
      <w:r>
        <w:rPr>
          <w:sz w:val="22"/>
          <w:szCs w:val="20"/>
        </w:rPr>
        <w:t>held in high regard</w:t>
      </w:r>
      <w:r w:rsidRPr="00F54C54">
        <w:rPr>
          <w:sz w:val="22"/>
          <w:szCs w:val="20"/>
        </w:rPr>
        <w:t xml:space="preserve"> at the School of Public Health.  </w:t>
      </w:r>
      <w:r>
        <w:rPr>
          <w:sz w:val="22"/>
          <w:szCs w:val="20"/>
        </w:rPr>
        <w:t>Y</w:t>
      </w:r>
      <w:r w:rsidRPr="00F54C54">
        <w:rPr>
          <w:sz w:val="22"/>
          <w:szCs w:val="20"/>
        </w:rPr>
        <w:t xml:space="preserve">our assistance in helping the </w:t>
      </w:r>
      <w:proofErr w:type="gramStart"/>
      <w:r w:rsidRPr="00F54C54">
        <w:rPr>
          <w:sz w:val="22"/>
          <w:szCs w:val="20"/>
        </w:rPr>
        <w:t>School</w:t>
      </w:r>
      <w:proofErr w:type="gramEnd"/>
      <w:r w:rsidRPr="00F54C54">
        <w:rPr>
          <w:sz w:val="22"/>
          <w:szCs w:val="20"/>
        </w:rPr>
        <w:t xml:space="preserve"> in its assessment of courses and faculty through participation in the evaluation of courses</w:t>
      </w:r>
      <w:r>
        <w:rPr>
          <w:sz w:val="22"/>
          <w:szCs w:val="20"/>
        </w:rPr>
        <w:t xml:space="preserve"> is requested</w:t>
      </w:r>
      <w:r w:rsidRPr="00F54C54">
        <w:rPr>
          <w:sz w:val="22"/>
          <w:szCs w:val="20"/>
        </w:rPr>
        <w:t xml:space="preserve">.  As public health professionals you will one day have the responsibility to evaluate colleagues and health initiatives. The </w:t>
      </w:r>
      <w:proofErr w:type="gramStart"/>
      <w:r w:rsidRPr="00F54C54">
        <w:rPr>
          <w:sz w:val="22"/>
          <w:szCs w:val="20"/>
        </w:rPr>
        <w:t>School</w:t>
      </w:r>
      <w:proofErr w:type="gramEnd"/>
      <w:r w:rsidRPr="00F54C54">
        <w:rPr>
          <w:sz w:val="22"/>
          <w:szCs w:val="20"/>
        </w:rPr>
        <w:t xml:space="preserve"> views providing feedback on the School’s courses as part of your professional responsibility. </w:t>
      </w:r>
    </w:p>
    <w:p w14:paraId="3519A2E3" w14:textId="77777777" w:rsidR="005D7251" w:rsidRPr="00D45ECC" w:rsidRDefault="005D7251" w:rsidP="00F140F8">
      <w:pPr>
        <w:pStyle w:val="Heading1"/>
      </w:pPr>
      <w:r w:rsidRPr="00F140F8">
        <w:t>Copyright Statement</w:t>
      </w:r>
    </w:p>
    <w:p w14:paraId="338AA3D9" w14:textId="47B3BB3B" w:rsidR="005D7251" w:rsidRDefault="005D7251" w:rsidP="005D7251">
      <w:pPr>
        <w:rPr>
          <w:rFonts w:cs="Times New Roman"/>
        </w:rPr>
      </w:pPr>
      <w:r w:rsidRPr="004E0F92">
        <w:rPr>
          <w:rFonts w:cs="Times New Roman"/>
        </w:rPr>
        <w:t>The materials used in this course are copyrighted. These materials include but are not limited to syllabi, quizzes, exams, lab problems, in-class materials, review sheets, and additional problem sets. Because these materials are copyrighted, you do not have the right to copy</w:t>
      </w:r>
      <w:r>
        <w:rPr>
          <w:rFonts w:cs="Times New Roman"/>
        </w:rPr>
        <w:t xml:space="preserve"> or share</w:t>
      </w:r>
      <w:r w:rsidRPr="004E0F92">
        <w:rPr>
          <w:rFonts w:cs="Times New Roman"/>
        </w:rPr>
        <w:t>, unless permission is expressly granted by the instructor.</w:t>
      </w:r>
    </w:p>
    <w:p w14:paraId="0B3F4DD4" w14:textId="77777777" w:rsidR="00DA5179" w:rsidRPr="00D45ECC" w:rsidRDefault="00DA5179" w:rsidP="00F140F8">
      <w:pPr>
        <w:pStyle w:val="Heading1"/>
      </w:pPr>
      <w:r w:rsidRPr="00F140F8">
        <w:t>Disclaimer</w:t>
      </w:r>
    </w:p>
    <w:p w14:paraId="16996DD3" w14:textId="77777777" w:rsidR="00DA5179" w:rsidRPr="00DA5179" w:rsidRDefault="00DA5179" w:rsidP="00D45ECC">
      <w:pPr>
        <w:rPr>
          <w:rFonts w:cstheme="minorHAnsi"/>
          <w:b/>
          <w:highlight w:val="black"/>
        </w:rPr>
      </w:pPr>
      <w:r w:rsidRPr="004E0F92">
        <w:rPr>
          <w:rFonts w:cs="Times New Roman"/>
        </w:rPr>
        <w:t xml:space="preserve">This syllabus </w:t>
      </w:r>
      <w:r w:rsidRPr="00C12FD2">
        <w:rPr>
          <w:rFonts w:cs="Times New Roman"/>
        </w:rPr>
        <w:t>is representative of materials that will be covered in this class.  It is subject to change.  These changes will be communicated via email or posted as announcements.  If you have any problems related to this course, please feel free to discuss them with the instructor.</w:t>
      </w:r>
    </w:p>
    <w:p w14:paraId="42A9A3DE" w14:textId="77777777" w:rsidR="008A7699" w:rsidRPr="00DA5179" w:rsidRDefault="008A7699">
      <w:pPr>
        <w:rPr>
          <w:highlight w:val="black"/>
        </w:rPr>
      </w:pPr>
      <w:r w:rsidRPr="00DA5179">
        <w:rPr>
          <w:highlight w:val="black"/>
        </w:rPr>
        <w:br w:type="page"/>
      </w:r>
    </w:p>
    <w:tbl>
      <w:tblPr>
        <w:tblStyle w:val="TableGrid"/>
        <w:tblW w:w="11160" w:type="dxa"/>
        <w:jc w:val="center"/>
        <w:tblLook w:val="04A0" w:firstRow="1" w:lastRow="0" w:firstColumn="1" w:lastColumn="0" w:noHBand="0" w:noVBand="1"/>
      </w:tblPr>
      <w:tblGrid>
        <w:gridCol w:w="5490"/>
        <w:gridCol w:w="5580"/>
        <w:gridCol w:w="90"/>
      </w:tblGrid>
      <w:tr w:rsidR="00EE12E4" w:rsidRPr="004E0F92" w14:paraId="7BA413DA" w14:textId="77777777" w:rsidTr="00934689">
        <w:trPr>
          <w:gridAfter w:val="1"/>
          <w:wAfter w:w="85" w:type="dxa"/>
          <w:jc w:val="center"/>
        </w:trPr>
        <w:tc>
          <w:tcPr>
            <w:tcW w:w="11070" w:type="dxa"/>
            <w:gridSpan w:val="2"/>
            <w:tcBorders>
              <w:top w:val="single" w:sz="4" w:space="0" w:color="auto"/>
              <w:left w:val="single" w:sz="4" w:space="0" w:color="auto"/>
              <w:bottom w:val="nil"/>
              <w:right w:val="single" w:sz="4" w:space="0" w:color="auto"/>
            </w:tcBorders>
            <w:shd w:val="clear" w:color="auto" w:fill="000000" w:themeFill="text1"/>
            <w:vAlign w:val="center"/>
          </w:tcPr>
          <w:p w14:paraId="7851F800" w14:textId="7E21E7EB" w:rsidR="00EE12E4" w:rsidRPr="004E0F92" w:rsidRDefault="00EE12E4" w:rsidP="00EE12E4">
            <w:pPr>
              <w:rPr>
                <w:rFonts w:cs="Times New Roman"/>
              </w:rPr>
            </w:pPr>
            <w:r>
              <w:rPr>
                <w:rFonts w:cstheme="minorHAnsi"/>
                <w:b/>
                <w:color w:val="FFFFFF" w:themeColor="background1"/>
              </w:rPr>
              <w:lastRenderedPageBreak/>
              <w:t xml:space="preserve">SCHOOL OF PUBLIC HEALTH </w:t>
            </w:r>
            <w:r w:rsidRPr="00537EEE">
              <w:rPr>
                <w:rFonts w:cstheme="minorHAnsi"/>
                <w:b/>
                <w:color w:val="FFFFFF" w:themeColor="background1"/>
              </w:rPr>
              <w:t>COMPETENCIES</w:t>
            </w:r>
          </w:p>
        </w:tc>
      </w:tr>
      <w:tr w:rsidR="00EE12E4" w:rsidRPr="00EE12E4" w14:paraId="0525729F" w14:textId="77777777" w:rsidTr="00934689">
        <w:trPr>
          <w:gridAfter w:val="1"/>
          <w:wAfter w:w="85" w:type="dxa"/>
          <w:jc w:val="center"/>
        </w:trPr>
        <w:tc>
          <w:tcPr>
            <w:tcW w:w="11070" w:type="dxa"/>
            <w:gridSpan w:val="2"/>
            <w:tcBorders>
              <w:top w:val="nil"/>
              <w:left w:val="nil"/>
              <w:bottom w:val="nil"/>
              <w:right w:val="nil"/>
            </w:tcBorders>
            <w:shd w:val="clear" w:color="auto" w:fill="auto"/>
            <w:vAlign w:val="center"/>
          </w:tcPr>
          <w:p w14:paraId="2664D3FE" w14:textId="400329F0"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u w:val="single"/>
              </w:rPr>
              <w:t>D1. MPH &amp; DrPH Foundational Public Health Knowledge</w:t>
            </w:r>
            <w:r w:rsidRPr="00EE12E4">
              <w:rPr>
                <w:rFonts w:asciiTheme="minorHAnsi" w:hAnsiTheme="minorHAnsi" w:cstheme="minorHAnsi"/>
                <w:szCs w:val="22"/>
              </w:rPr>
              <w:t xml:space="preserve"> </w:t>
            </w:r>
          </w:p>
        </w:tc>
      </w:tr>
      <w:tr w:rsidR="00EE12E4" w:rsidRPr="00EE12E4" w14:paraId="1C9D487C" w14:textId="77777777" w:rsidTr="00934689">
        <w:trPr>
          <w:gridAfter w:val="1"/>
          <w:wAfter w:w="85" w:type="dxa"/>
          <w:trHeight w:val="4248"/>
          <w:jc w:val="center"/>
        </w:trPr>
        <w:tc>
          <w:tcPr>
            <w:tcW w:w="5490" w:type="dxa"/>
            <w:tcBorders>
              <w:top w:val="nil"/>
              <w:left w:val="nil"/>
              <w:bottom w:val="nil"/>
              <w:right w:val="nil"/>
            </w:tcBorders>
            <w:shd w:val="clear" w:color="auto" w:fill="auto"/>
            <w:vAlign w:val="center"/>
          </w:tcPr>
          <w:p w14:paraId="08AAEBD9"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Profession &amp; Science of Public Health</w:t>
            </w:r>
          </w:p>
          <w:p w14:paraId="20268C25"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D1.1. Explain public health history, </w:t>
            </w:r>
            <w:proofErr w:type="gramStart"/>
            <w:r w:rsidRPr="00EE12E4">
              <w:rPr>
                <w:rFonts w:asciiTheme="minorHAnsi" w:hAnsiTheme="minorHAnsi" w:cstheme="minorHAnsi"/>
                <w:szCs w:val="22"/>
              </w:rPr>
              <w:t>philosophy</w:t>
            </w:r>
            <w:proofErr w:type="gramEnd"/>
            <w:r w:rsidRPr="00EE12E4">
              <w:rPr>
                <w:rFonts w:asciiTheme="minorHAnsi" w:hAnsiTheme="minorHAnsi" w:cstheme="minorHAnsi"/>
                <w:szCs w:val="22"/>
              </w:rPr>
              <w:t xml:space="preserve"> and values</w:t>
            </w:r>
          </w:p>
          <w:p w14:paraId="01DB36A5"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D1.2. Identify the core functions of public health and the 10 Essential Services</w:t>
            </w:r>
          </w:p>
          <w:p w14:paraId="51CC0B31"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D1.3. Explain the role of quantitative and qualitative methods and sciences in describing and assessing a population’s health </w:t>
            </w:r>
          </w:p>
          <w:p w14:paraId="1BD639F0"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D1.4. List major causes and trends of morbidity and mortality in the US or other community relevant to the school or program</w:t>
            </w:r>
          </w:p>
          <w:p w14:paraId="04795C3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D1.5. Discuss the science of primary, </w:t>
            </w:r>
            <w:proofErr w:type="gramStart"/>
            <w:r w:rsidRPr="00EE12E4">
              <w:rPr>
                <w:rFonts w:asciiTheme="minorHAnsi" w:hAnsiTheme="minorHAnsi" w:cstheme="minorHAnsi"/>
                <w:szCs w:val="22"/>
              </w:rPr>
              <w:t>secondary</w:t>
            </w:r>
            <w:proofErr w:type="gramEnd"/>
            <w:r w:rsidRPr="00EE12E4">
              <w:rPr>
                <w:rFonts w:asciiTheme="minorHAnsi" w:hAnsiTheme="minorHAnsi" w:cstheme="minorHAnsi"/>
                <w:szCs w:val="22"/>
              </w:rPr>
              <w:t xml:space="preserve"> and tertiary prevention in population health, including health promotion, screening, etc.</w:t>
            </w:r>
          </w:p>
          <w:p w14:paraId="6F85C8BD"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D1.6. Explain the critical importance of evidence in advancing public health knowledge</w:t>
            </w:r>
          </w:p>
          <w:p w14:paraId="55F02461" w14:textId="2C40802F" w:rsidR="00EE12E4" w:rsidRPr="00EE12E4" w:rsidRDefault="00EE12E4" w:rsidP="00EE12E4">
            <w:pPr>
              <w:spacing w:before="0"/>
              <w:rPr>
                <w:rFonts w:asciiTheme="minorHAnsi" w:hAnsiTheme="minorHAnsi" w:cstheme="minorHAnsi"/>
                <w:szCs w:val="22"/>
              </w:rPr>
            </w:pPr>
          </w:p>
        </w:tc>
        <w:tc>
          <w:tcPr>
            <w:tcW w:w="5580" w:type="dxa"/>
            <w:tcBorders>
              <w:top w:val="nil"/>
              <w:left w:val="nil"/>
              <w:bottom w:val="nil"/>
              <w:right w:val="nil"/>
            </w:tcBorders>
            <w:shd w:val="clear" w:color="auto" w:fill="auto"/>
          </w:tcPr>
          <w:p w14:paraId="78B08097"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Factors Related to Human Health</w:t>
            </w:r>
          </w:p>
          <w:p w14:paraId="26421B8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D1.7. Explain effects of environmental factors on a population’s health</w:t>
            </w:r>
          </w:p>
          <w:p w14:paraId="512657C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D1.8. Explain biological and genetic factors that affect a population’s health</w:t>
            </w:r>
          </w:p>
          <w:p w14:paraId="4701D89D"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D1.9. Explain behavioral and psychological factors that affect a population’s health</w:t>
            </w:r>
          </w:p>
          <w:p w14:paraId="2CDFD3C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D1.10. Explain the social, </w:t>
            </w:r>
            <w:proofErr w:type="gramStart"/>
            <w:r w:rsidRPr="00EE12E4">
              <w:rPr>
                <w:rFonts w:asciiTheme="minorHAnsi" w:hAnsiTheme="minorHAnsi" w:cstheme="minorHAnsi"/>
                <w:szCs w:val="22"/>
              </w:rPr>
              <w:t>political</w:t>
            </w:r>
            <w:proofErr w:type="gramEnd"/>
            <w:r w:rsidRPr="00EE12E4">
              <w:rPr>
                <w:rFonts w:asciiTheme="minorHAnsi" w:hAnsiTheme="minorHAnsi" w:cstheme="minorHAnsi"/>
                <w:szCs w:val="22"/>
              </w:rPr>
              <w:t xml:space="preserve"> and economic determinants of health and how they contribute to population health and health inequities</w:t>
            </w:r>
          </w:p>
          <w:p w14:paraId="21CC63D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D1.11. Explain how globalization affects global burdens of disease</w:t>
            </w:r>
          </w:p>
          <w:p w14:paraId="391F142F"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D1.12. Explain an ecological perspective on the connections among human health, animal health and ecosystem health (e.g., One Health)</w:t>
            </w:r>
          </w:p>
          <w:p w14:paraId="78562A2F" w14:textId="77777777" w:rsidR="00EE12E4" w:rsidRPr="00EE12E4" w:rsidRDefault="00EE12E4" w:rsidP="00EE12E4">
            <w:pPr>
              <w:spacing w:before="0"/>
              <w:rPr>
                <w:rFonts w:asciiTheme="minorHAnsi" w:hAnsiTheme="minorHAnsi" w:cstheme="minorHAnsi"/>
                <w:b/>
                <w:szCs w:val="22"/>
              </w:rPr>
            </w:pPr>
          </w:p>
        </w:tc>
      </w:tr>
      <w:tr w:rsidR="00EE12E4" w:rsidRPr="00EE12E4" w14:paraId="6A5692E6" w14:textId="77777777" w:rsidTr="00934689">
        <w:trPr>
          <w:gridAfter w:val="1"/>
          <w:wAfter w:w="85" w:type="dxa"/>
          <w:jc w:val="center"/>
        </w:trPr>
        <w:tc>
          <w:tcPr>
            <w:tcW w:w="11070" w:type="dxa"/>
            <w:gridSpan w:val="2"/>
            <w:tcBorders>
              <w:top w:val="nil"/>
              <w:left w:val="nil"/>
              <w:bottom w:val="nil"/>
              <w:right w:val="nil"/>
            </w:tcBorders>
            <w:shd w:val="clear" w:color="auto" w:fill="auto"/>
            <w:vAlign w:val="center"/>
          </w:tcPr>
          <w:p w14:paraId="68C50B7C" w14:textId="24A55054"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u w:val="single"/>
              </w:rPr>
              <w:t>D2. MPH Foundational Competencies</w:t>
            </w:r>
            <w:r w:rsidRPr="00EE12E4">
              <w:rPr>
                <w:rFonts w:asciiTheme="minorHAnsi" w:hAnsiTheme="minorHAnsi" w:cstheme="minorHAnsi"/>
                <w:szCs w:val="22"/>
              </w:rPr>
              <w:t xml:space="preserve"> </w:t>
            </w:r>
          </w:p>
        </w:tc>
      </w:tr>
      <w:tr w:rsidR="00EE12E4" w:rsidRPr="00EE12E4" w14:paraId="01D6CE7B" w14:textId="77777777" w:rsidTr="00934689">
        <w:trPr>
          <w:gridAfter w:val="1"/>
          <w:wAfter w:w="85" w:type="dxa"/>
          <w:jc w:val="center"/>
        </w:trPr>
        <w:tc>
          <w:tcPr>
            <w:tcW w:w="5490" w:type="dxa"/>
            <w:tcBorders>
              <w:top w:val="nil"/>
              <w:left w:val="nil"/>
              <w:bottom w:val="nil"/>
              <w:right w:val="nil"/>
            </w:tcBorders>
            <w:shd w:val="clear" w:color="auto" w:fill="auto"/>
          </w:tcPr>
          <w:p w14:paraId="164E6F41"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Evidence-based Approaches to Public Health </w:t>
            </w:r>
          </w:p>
          <w:p w14:paraId="5A0EC117"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 Apply epidemiological methods to the breadth of settings and situations in public health practice </w:t>
            </w:r>
          </w:p>
          <w:p w14:paraId="03127D3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D2.2. Select quantitative and qualitative data collection methods appropriate for a given public health context </w:t>
            </w:r>
          </w:p>
          <w:p w14:paraId="7759F24E"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D2.3. Analyze quantitative and qualitative data using biostatistics, informatics, computer-based </w:t>
            </w:r>
            <w:proofErr w:type="gramStart"/>
            <w:r w:rsidRPr="00EE12E4">
              <w:rPr>
                <w:rFonts w:asciiTheme="minorHAnsi" w:hAnsiTheme="minorHAnsi" w:cstheme="minorHAnsi"/>
                <w:szCs w:val="22"/>
              </w:rPr>
              <w:t>programming</w:t>
            </w:r>
            <w:proofErr w:type="gramEnd"/>
            <w:r w:rsidRPr="00EE12E4">
              <w:rPr>
                <w:rFonts w:asciiTheme="minorHAnsi" w:hAnsiTheme="minorHAnsi" w:cstheme="minorHAnsi"/>
                <w:szCs w:val="22"/>
              </w:rPr>
              <w:t xml:space="preserve"> and software, as appropriate </w:t>
            </w:r>
          </w:p>
          <w:p w14:paraId="50B17FF1"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D2.4. Interpret results of data analysis for public health research, </w:t>
            </w:r>
            <w:proofErr w:type="gramStart"/>
            <w:r w:rsidRPr="00EE12E4">
              <w:rPr>
                <w:rFonts w:asciiTheme="minorHAnsi" w:hAnsiTheme="minorHAnsi" w:cstheme="minorHAnsi"/>
                <w:szCs w:val="22"/>
              </w:rPr>
              <w:t>policy</w:t>
            </w:r>
            <w:proofErr w:type="gramEnd"/>
            <w:r w:rsidRPr="00EE12E4">
              <w:rPr>
                <w:rFonts w:asciiTheme="minorHAnsi" w:hAnsiTheme="minorHAnsi" w:cstheme="minorHAnsi"/>
                <w:szCs w:val="22"/>
              </w:rPr>
              <w:t xml:space="preserve"> or practice </w:t>
            </w:r>
          </w:p>
          <w:p w14:paraId="67254635"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Public Health &amp; Health Care Systems </w:t>
            </w:r>
          </w:p>
          <w:p w14:paraId="1C033EA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D2.5. Compare the organization, structure and function of health care, public </w:t>
            </w:r>
            <w:proofErr w:type="gramStart"/>
            <w:r w:rsidRPr="00EE12E4">
              <w:rPr>
                <w:rFonts w:asciiTheme="minorHAnsi" w:hAnsiTheme="minorHAnsi" w:cstheme="minorHAnsi"/>
                <w:szCs w:val="22"/>
              </w:rPr>
              <w:t>health</w:t>
            </w:r>
            <w:proofErr w:type="gramEnd"/>
            <w:r w:rsidRPr="00EE12E4">
              <w:rPr>
                <w:rFonts w:asciiTheme="minorHAnsi" w:hAnsiTheme="minorHAnsi" w:cstheme="minorHAnsi"/>
                <w:szCs w:val="22"/>
              </w:rPr>
              <w:t xml:space="preserve"> and regulatory systems across national and international settings </w:t>
            </w:r>
          </w:p>
          <w:p w14:paraId="4386D5D2"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D2.6. Discuss </w:t>
            </w:r>
            <w:proofErr w:type="gramStart"/>
            <w:r w:rsidRPr="00EE12E4">
              <w:rPr>
                <w:rFonts w:asciiTheme="minorHAnsi" w:hAnsiTheme="minorHAnsi" w:cstheme="minorHAnsi"/>
                <w:szCs w:val="22"/>
              </w:rPr>
              <w:t>the means by which</w:t>
            </w:r>
            <w:proofErr w:type="gramEnd"/>
            <w:r w:rsidRPr="00EE12E4">
              <w:rPr>
                <w:rFonts w:asciiTheme="minorHAnsi" w:hAnsiTheme="minorHAnsi" w:cstheme="minorHAnsi"/>
                <w:szCs w:val="22"/>
              </w:rPr>
              <w:t xml:space="preserve"> structural bias, social inequities and racism undermine health and create challenges to achieving health equity at organizational, community and societal levels</w:t>
            </w:r>
          </w:p>
          <w:p w14:paraId="09AF481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Planning &amp; Management to Promote Health</w:t>
            </w:r>
            <w:r w:rsidRPr="00EE12E4">
              <w:rPr>
                <w:rFonts w:asciiTheme="minorHAnsi" w:hAnsiTheme="minorHAnsi" w:cstheme="minorHAnsi"/>
                <w:szCs w:val="22"/>
              </w:rPr>
              <w:t xml:space="preserve"> </w:t>
            </w:r>
          </w:p>
          <w:p w14:paraId="246CD499"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D2.7. Assess population needs, assets and capacities that affect communities’ health </w:t>
            </w:r>
          </w:p>
          <w:p w14:paraId="7E24C74C"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D2.8. Apply awareness of cultural values and practices to the design or implementation of public health policies or programs </w:t>
            </w:r>
          </w:p>
          <w:p w14:paraId="63FEA70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D2.9. Design a population-based policy, program, </w:t>
            </w:r>
            <w:proofErr w:type="gramStart"/>
            <w:r w:rsidRPr="00EE12E4">
              <w:rPr>
                <w:rFonts w:asciiTheme="minorHAnsi" w:hAnsiTheme="minorHAnsi" w:cstheme="minorHAnsi"/>
                <w:szCs w:val="22"/>
              </w:rPr>
              <w:t>project</w:t>
            </w:r>
            <w:proofErr w:type="gramEnd"/>
            <w:r w:rsidRPr="00EE12E4">
              <w:rPr>
                <w:rFonts w:asciiTheme="minorHAnsi" w:hAnsiTheme="minorHAnsi" w:cstheme="minorHAnsi"/>
                <w:szCs w:val="22"/>
              </w:rPr>
              <w:t xml:space="preserve"> or intervention </w:t>
            </w:r>
          </w:p>
          <w:p w14:paraId="3B5A40C3"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D2.10. Explain basic principles and tools of budget and resource management </w:t>
            </w:r>
          </w:p>
          <w:p w14:paraId="1073396E"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D2.11. Select methods to evaluate public health programs</w:t>
            </w:r>
          </w:p>
          <w:p w14:paraId="2F6EFA78" w14:textId="77777777" w:rsidR="00EE12E4" w:rsidRPr="00EE12E4" w:rsidRDefault="00EE12E4" w:rsidP="00EE12E4">
            <w:pPr>
              <w:spacing w:before="0"/>
              <w:rPr>
                <w:rFonts w:asciiTheme="minorHAnsi" w:hAnsiTheme="minorHAnsi" w:cstheme="minorHAnsi"/>
                <w:b/>
                <w:szCs w:val="22"/>
                <w:u w:val="single"/>
              </w:rPr>
            </w:pPr>
          </w:p>
        </w:tc>
        <w:tc>
          <w:tcPr>
            <w:tcW w:w="5580" w:type="dxa"/>
            <w:tcBorders>
              <w:top w:val="nil"/>
              <w:left w:val="nil"/>
              <w:bottom w:val="nil"/>
              <w:right w:val="nil"/>
            </w:tcBorders>
            <w:shd w:val="clear" w:color="auto" w:fill="auto"/>
          </w:tcPr>
          <w:p w14:paraId="4F8B8856"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Policy in Public Health</w:t>
            </w:r>
            <w:r w:rsidRPr="00EE12E4">
              <w:rPr>
                <w:rFonts w:asciiTheme="minorHAnsi" w:hAnsiTheme="minorHAnsi" w:cstheme="minorHAnsi"/>
                <w:szCs w:val="22"/>
              </w:rPr>
              <w:t xml:space="preserve"> </w:t>
            </w:r>
          </w:p>
          <w:p w14:paraId="36FA34AB"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D2.12. Discuss multiple dimensions of the policy-making process, including the roles of ethics and evidence </w:t>
            </w:r>
          </w:p>
          <w:p w14:paraId="37C34D67"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D2.13. Propose strategies to identify stakeholders and build coalitions and partnerships for influencing public health outcomes </w:t>
            </w:r>
          </w:p>
          <w:p w14:paraId="5A7D349E"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D2.14. Advocate for political, </w:t>
            </w:r>
            <w:proofErr w:type="gramStart"/>
            <w:r w:rsidRPr="00EE12E4">
              <w:rPr>
                <w:rFonts w:asciiTheme="minorHAnsi" w:hAnsiTheme="minorHAnsi" w:cstheme="minorHAnsi"/>
                <w:szCs w:val="22"/>
              </w:rPr>
              <w:t>social</w:t>
            </w:r>
            <w:proofErr w:type="gramEnd"/>
            <w:r w:rsidRPr="00EE12E4">
              <w:rPr>
                <w:rFonts w:asciiTheme="minorHAnsi" w:hAnsiTheme="minorHAnsi" w:cstheme="minorHAnsi"/>
                <w:szCs w:val="22"/>
              </w:rPr>
              <w:t xml:space="preserve"> or economic policies and programs that will improve health in diverse populations </w:t>
            </w:r>
          </w:p>
          <w:p w14:paraId="10588730"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D2.15. Evaluate policies for their impact on public health and health equity</w:t>
            </w:r>
          </w:p>
          <w:p w14:paraId="528811FC"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Leadership </w:t>
            </w:r>
          </w:p>
          <w:p w14:paraId="4926D76C"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D2.16. Apply principles of leadership, </w:t>
            </w:r>
            <w:proofErr w:type="gramStart"/>
            <w:r w:rsidRPr="00EE12E4">
              <w:rPr>
                <w:rFonts w:asciiTheme="minorHAnsi" w:hAnsiTheme="minorHAnsi" w:cstheme="minorHAnsi"/>
                <w:szCs w:val="22"/>
              </w:rPr>
              <w:t>governance</w:t>
            </w:r>
            <w:proofErr w:type="gramEnd"/>
            <w:r w:rsidRPr="00EE12E4">
              <w:rPr>
                <w:rFonts w:asciiTheme="minorHAnsi" w:hAnsiTheme="minorHAnsi" w:cstheme="minorHAnsi"/>
                <w:szCs w:val="22"/>
              </w:rPr>
              <w:t xml:space="preserve"> and management, which include creating a vision, empowering others, fostering collaboration and guiding decision making </w:t>
            </w:r>
          </w:p>
          <w:p w14:paraId="72233322"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D2.17. Apply negotiation and mediation skills to address organizational or community challenges</w:t>
            </w:r>
          </w:p>
          <w:p w14:paraId="43840AE4" w14:textId="5259A0DE"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szCs w:val="22"/>
              </w:rPr>
              <w:t xml:space="preserve"> </w:t>
            </w:r>
            <w:r w:rsidRPr="00EE12E4">
              <w:rPr>
                <w:rFonts w:asciiTheme="minorHAnsi" w:hAnsiTheme="minorHAnsi" w:cstheme="minorHAnsi"/>
                <w:b/>
                <w:szCs w:val="22"/>
              </w:rPr>
              <w:t xml:space="preserve">Communication </w:t>
            </w:r>
          </w:p>
          <w:p w14:paraId="3BA2A099"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D2.18. Select communication strategies for different audiences and sectors </w:t>
            </w:r>
          </w:p>
          <w:p w14:paraId="68F7EA4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D2.19. Communicate audience-appropriate public health content, both in writing and through oral presentation</w:t>
            </w:r>
          </w:p>
          <w:p w14:paraId="09E326FF"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D2.20. Describe the importance of cultural competence in communicating public health content </w:t>
            </w:r>
          </w:p>
          <w:p w14:paraId="5B29086A"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Interprofessional Practice </w:t>
            </w:r>
          </w:p>
          <w:p w14:paraId="5034A9E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D2.21. Perform effectively on interprofessional teams</w:t>
            </w:r>
          </w:p>
          <w:p w14:paraId="0F667270" w14:textId="77777777" w:rsidR="00EE12E4" w:rsidRPr="00EE12E4" w:rsidRDefault="00EE12E4" w:rsidP="00EE12E4">
            <w:pPr>
              <w:spacing w:before="0"/>
              <w:rPr>
                <w:rFonts w:asciiTheme="minorHAnsi" w:hAnsiTheme="minorHAnsi" w:cstheme="minorHAnsi"/>
                <w:szCs w:val="22"/>
              </w:rPr>
            </w:pPr>
          </w:p>
          <w:p w14:paraId="6840E7A9"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Systems Thinking</w:t>
            </w:r>
          </w:p>
          <w:p w14:paraId="1D04285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D2.22 Apply systems thinking tools to a public health issue</w:t>
            </w:r>
          </w:p>
          <w:p w14:paraId="438C8BAA" w14:textId="77777777" w:rsidR="00EE12E4" w:rsidRPr="00EE12E4" w:rsidRDefault="00EE12E4" w:rsidP="00EE12E4">
            <w:pPr>
              <w:spacing w:before="0"/>
              <w:rPr>
                <w:rFonts w:asciiTheme="minorHAnsi" w:hAnsiTheme="minorHAnsi" w:cstheme="minorHAnsi"/>
                <w:b/>
                <w:szCs w:val="22"/>
              </w:rPr>
            </w:pPr>
          </w:p>
        </w:tc>
      </w:tr>
      <w:tr w:rsidR="00EE12E4" w:rsidRPr="00EE12E4" w14:paraId="3E9CBC71" w14:textId="77777777" w:rsidTr="00934689">
        <w:trPr>
          <w:jc w:val="center"/>
        </w:trPr>
        <w:tc>
          <w:tcPr>
            <w:tcW w:w="5490" w:type="dxa"/>
            <w:tcBorders>
              <w:top w:val="nil"/>
              <w:left w:val="nil"/>
              <w:bottom w:val="nil"/>
              <w:right w:val="nil"/>
            </w:tcBorders>
            <w:shd w:val="clear" w:color="auto" w:fill="auto"/>
            <w:vAlign w:val="center"/>
          </w:tcPr>
          <w:p w14:paraId="28BBF05E" w14:textId="578CC93D" w:rsidR="00EE12E4" w:rsidRPr="00EE12E4" w:rsidRDefault="00EE12E4" w:rsidP="00EE12E4">
            <w:pPr>
              <w:autoSpaceDE w:val="0"/>
              <w:autoSpaceDN w:val="0"/>
              <w:adjustRightInd w:val="0"/>
              <w:spacing w:before="0"/>
              <w:ind w:left="-15"/>
              <w:rPr>
                <w:rFonts w:asciiTheme="minorHAnsi" w:hAnsiTheme="minorHAnsi" w:cstheme="minorHAnsi"/>
                <w:b/>
                <w:bCs/>
                <w:szCs w:val="22"/>
                <w:u w:val="single"/>
              </w:rPr>
            </w:pPr>
            <w:r>
              <w:lastRenderedPageBreak/>
              <w:br w:type="page"/>
            </w:r>
            <w:r w:rsidRPr="00EE12E4">
              <w:rPr>
                <w:rFonts w:asciiTheme="minorHAnsi" w:hAnsiTheme="minorHAnsi" w:cstheme="minorHAnsi"/>
                <w:b/>
                <w:bCs/>
                <w:szCs w:val="22"/>
                <w:u w:val="single"/>
              </w:rPr>
              <w:t>D3. DrPH Foundational Competencies</w:t>
            </w:r>
          </w:p>
        </w:tc>
        <w:tc>
          <w:tcPr>
            <w:tcW w:w="5670" w:type="dxa"/>
            <w:gridSpan w:val="2"/>
            <w:tcBorders>
              <w:top w:val="nil"/>
              <w:left w:val="nil"/>
              <w:bottom w:val="nil"/>
              <w:right w:val="nil"/>
            </w:tcBorders>
            <w:shd w:val="clear" w:color="auto" w:fill="auto"/>
          </w:tcPr>
          <w:p w14:paraId="4D011C05" w14:textId="77777777" w:rsidR="00EE12E4" w:rsidRPr="00EE12E4" w:rsidRDefault="00EE12E4" w:rsidP="00EE12E4">
            <w:pPr>
              <w:spacing w:before="0"/>
              <w:rPr>
                <w:rFonts w:asciiTheme="minorHAnsi" w:hAnsiTheme="minorHAnsi" w:cstheme="minorHAnsi"/>
                <w:b/>
                <w:szCs w:val="22"/>
              </w:rPr>
            </w:pPr>
          </w:p>
        </w:tc>
      </w:tr>
      <w:tr w:rsidR="00EE12E4" w:rsidRPr="00EE12E4" w14:paraId="2EC49C36" w14:textId="77777777" w:rsidTr="00934689">
        <w:trPr>
          <w:jc w:val="center"/>
        </w:trPr>
        <w:tc>
          <w:tcPr>
            <w:tcW w:w="5490" w:type="dxa"/>
            <w:tcBorders>
              <w:top w:val="nil"/>
              <w:left w:val="nil"/>
              <w:bottom w:val="nil"/>
              <w:right w:val="nil"/>
            </w:tcBorders>
            <w:shd w:val="clear" w:color="auto" w:fill="auto"/>
            <w:vAlign w:val="center"/>
          </w:tcPr>
          <w:p w14:paraId="1DF5FF9D" w14:textId="77777777" w:rsidR="00EE12E4" w:rsidRPr="00EE12E4" w:rsidRDefault="00EE12E4" w:rsidP="00EE12E4">
            <w:pPr>
              <w:autoSpaceDE w:val="0"/>
              <w:autoSpaceDN w:val="0"/>
              <w:adjustRightInd w:val="0"/>
              <w:spacing w:before="0"/>
              <w:ind w:left="-15"/>
              <w:rPr>
                <w:rFonts w:asciiTheme="minorHAnsi" w:hAnsiTheme="minorHAnsi" w:cstheme="minorHAnsi"/>
                <w:b/>
                <w:bCs/>
                <w:szCs w:val="22"/>
              </w:rPr>
            </w:pPr>
            <w:r w:rsidRPr="00EE12E4">
              <w:rPr>
                <w:rFonts w:asciiTheme="minorHAnsi" w:hAnsiTheme="minorHAnsi" w:cstheme="minorHAnsi"/>
                <w:b/>
                <w:bCs/>
                <w:szCs w:val="22"/>
              </w:rPr>
              <w:t>Data &amp; Analysis</w:t>
            </w:r>
          </w:p>
          <w:p w14:paraId="015BE53C"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D3.1. Explain qualitative, quantitative, mixed methods and policy analysis research and</w:t>
            </w:r>
          </w:p>
          <w:p w14:paraId="3D75CEF1"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evaluation methods to address health issues at multiple (individual, group, organization,</w:t>
            </w:r>
          </w:p>
          <w:p w14:paraId="6B90CA77"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community and population) levels</w:t>
            </w:r>
          </w:p>
          <w:p w14:paraId="2CB43782"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D3.2. Design a qualitative, quantitative, mixed methods, policy analysis or evaluation project to</w:t>
            </w:r>
          </w:p>
          <w:p w14:paraId="18C24EDF"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address a public health issue</w:t>
            </w:r>
          </w:p>
          <w:p w14:paraId="71586FEA"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D3.3 Explain the use and limitations of surveillance systems and national surveys in assessing,</w:t>
            </w:r>
          </w:p>
          <w:p w14:paraId="68CA58F8"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monitoring and evaluating policies and programs and to address a population’s health</w:t>
            </w:r>
          </w:p>
          <w:p w14:paraId="35C410C4" w14:textId="77777777" w:rsidR="00EE12E4" w:rsidRPr="00EE12E4" w:rsidRDefault="00EE12E4" w:rsidP="00EE12E4">
            <w:pPr>
              <w:autoSpaceDE w:val="0"/>
              <w:autoSpaceDN w:val="0"/>
              <w:adjustRightInd w:val="0"/>
              <w:spacing w:before="0"/>
              <w:ind w:left="-15"/>
              <w:rPr>
                <w:rFonts w:asciiTheme="minorHAnsi" w:hAnsiTheme="minorHAnsi" w:cstheme="minorHAnsi"/>
                <w:b/>
                <w:bCs/>
                <w:szCs w:val="22"/>
              </w:rPr>
            </w:pPr>
          </w:p>
          <w:p w14:paraId="3DC3ED8B" w14:textId="77777777" w:rsidR="00EE12E4" w:rsidRPr="00EE12E4" w:rsidRDefault="00EE12E4" w:rsidP="00EE12E4">
            <w:pPr>
              <w:autoSpaceDE w:val="0"/>
              <w:autoSpaceDN w:val="0"/>
              <w:adjustRightInd w:val="0"/>
              <w:spacing w:before="0"/>
              <w:ind w:left="-15"/>
              <w:rPr>
                <w:rFonts w:asciiTheme="minorHAnsi" w:hAnsiTheme="minorHAnsi" w:cstheme="minorHAnsi"/>
                <w:b/>
                <w:bCs/>
                <w:szCs w:val="22"/>
              </w:rPr>
            </w:pPr>
            <w:r w:rsidRPr="00EE12E4">
              <w:rPr>
                <w:rFonts w:asciiTheme="minorHAnsi" w:hAnsiTheme="minorHAnsi" w:cstheme="minorHAnsi"/>
                <w:b/>
                <w:bCs/>
                <w:szCs w:val="22"/>
              </w:rPr>
              <w:t>Leadership, Management &amp; Governance</w:t>
            </w:r>
          </w:p>
          <w:p w14:paraId="207CCC22"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D3.4. Propose strategies for health improvement and elimination of health inequities by</w:t>
            </w:r>
          </w:p>
          <w:p w14:paraId="6EAFF7A2"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organizing stakeholders, including researchers, practitioners, community leaders and</w:t>
            </w:r>
          </w:p>
          <w:p w14:paraId="6FBC066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other partners</w:t>
            </w:r>
          </w:p>
          <w:p w14:paraId="1B4E5D5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D3.5. Communicate public health science to diverse stakeholders, including individuals at all</w:t>
            </w:r>
          </w:p>
          <w:p w14:paraId="285F5D7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levels of health literacy, for purposes of influencing behavior and policies</w:t>
            </w:r>
          </w:p>
          <w:p w14:paraId="6D91AB65"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 xml:space="preserve">D3.6. Integrate knowledge, approaches, methods, </w:t>
            </w:r>
            <w:proofErr w:type="gramStart"/>
            <w:r w:rsidRPr="00EE12E4">
              <w:rPr>
                <w:rFonts w:asciiTheme="minorHAnsi" w:hAnsiTheme="minorHAnsi" w:cstheme="minorHAnsi"/>
                <w:szCs w:val="22"/>
              </w:rPr>
              <w:t>values</w:t>
            </w:r>
            <w:proofErr w:type="gramEnd"/>
            <w:r w:rsidRPr="00EE12E4">
              <w:rPr>
                <w:rFonts w:asciiTheme="minorHAnsi" w:hAnsiTheme="minorHAnsi" w:cstheme="minorHAnsi"/>
                <w:szCs w:val="22"/>
              </w:rPr>
              <w:t xml:space="preserve"> and potential contributions from</w:t>
            </w:r>
          </w:p>
          <w:p w14:paraId="086923A0"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multiple professions and systems in addressing public health problems</w:t>
            </w:r>
          </w:p>
          <w:p w14:paraId="44887430"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D3.7. Create a strategic plan</w:t>
            </w:r>
          </w:p>
          <w:p w14:paraId="41DE1EB8"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D3.8. Facilitate shared decision making through negotiation and consensus-building methods</w:t>
            </w:r>
          </w:p>
          <w:p w14:paraId="014D450D" w14:textId="77777777" w:rsidR="00EE12E4" w:rsidRPr="00EE12E4" w:rsidRDefault="00EE12E4" w:rsidP="00EE12E4">
            <w:pPr>
              <w:autoSpaceDE w:val="0"/>
              <w:autoSpaceDN w:val="0"/>
              <w:adjustRightInd w:val="0"/>
              <w:spacing w:before="0"/>
              <w:ind w:left="435"/>
              <w:rPr>
                <w:rFonts w:asciiTheme="minorHAnsi" w:hAnsiTheme="minorHAnsi" w:cstheme="minorHAnsi"/>
                <w:szCs w:val="22"/>
              </w:rPr>
            </w:pPr>
          </w:p>
        </w:tc>
        <w:tc>
          <w:tcPr>
            <w:tcW w:w="5670" w:type="dxa"/>
            <w:gridSpan w:val="2"/>
            <w:tcBorders>
              <w:top w:val="nil"/>
              <w:left w:val="nil"/>
              <w:bottom w:val="nil"/>
              <w:right w:val="nil"/>
            </w:tcBorders>
            <w:shd w:val="clear" w:color="auto" w:fill="auto"/>
          </w:tcPr>
          <w:p w14:paraId="0C5EACC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D3.9. Create organizational change strategies</w:t>
            </w:r>
          </w:p>
          <w:p w14:paraId="2717632E"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D3.10. Propose strategies to promote inclusion and equity within public health programs,</w:t>
            </w:r>
          </w:p>
          <w:p w14:paraId="4744979E"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policies and systems</w:t>
            </w:r>
          </w:p>
          <w:p w14:paraId="2D795790"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D3.11. Assess one’s own strengths and weaknesses in leadership capacities, including cultural</w:t>
            </w:r>
          </w:p>
          <w:p w14:paraId="2320F24D"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proficiency</w:t>
            </w:r>
          </w:p>
          <w:p w14:paraId="41FC364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 xml:space="preserve">D3.12. Propose human, </w:t>
            </w:r>
            <w:proofErr w:type="gramStart"/>
            <w:r w:rsidRPr="00EE12E4">
              <w:rPr>
                <w:rFonts w:asciiTheme="minorHAnsi" w:hAnsiTheme="minorHAnsi" w:cstheme="minorHAnsi"/>
                <w:szCs w:val="22"/>
              </w:rPr>
              <w:t>fiscal</w:t>
            </w:r>
            <w:proofErr w:type="gramEnd"/>
            <w:r w:rsidRPr="00EE12E4">
              <w:rPr>
                <w:rFonts w:asciiTheme="minorHAnsi" w:hAnsiTheme="minorHAnsi" w:cstheme="minorHAnsi"/>
                <w:szCs w:val="22"/>
              </w:rPr>
              <w:t xml:space="preserve"> and other resources to achieve a strategic goal</w:t>
            </w:r>
          </w:p>
          <w:p w14:paraId="03BB5ED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D3.13. Cultivate new resources and revenue streams to achieve a strategic goal</w:t>
            </w:r>
          </w:p>
          <w:p w14:paraId="46325385" w14:textId="77777777" w:rsidR="00EE12E4" w:rsidRPr="00EE12E4" w:rsidRDefault="00EE12E4" w:rsidP="00EE12E4">
            <w:pPr>
              <w:autoSpaceDE w:val="0"/>
              <w:autoSpaceDN w:val="0"/>
              <w:adjustRightInd w:val="0"/>
              <w:spacing w:before="0"/>
              <w:rPr>
                <w:rFonts w:asciiTheme="minorHAnsi" w:hAnsiTheme="minorHAnsi" w:cstheme="minorHAnsi"/>
                <w:b/>
                <w:bCs/>
                <w:szCs w:val="22"/>
              </w:rPr>
            </w:pPr>
          </w:p>
          <w:p w14:paraId="13BAE0FF" w14:textId="77777777" w:rsidR="00EE12E4" w:rsidRPr="00EE12E4" w:rsidRDefault="00EE12E4" w:rsidP="00EE12E4">
            <w:pPr>
              <w:autoSpaceDE w:val="0"/>
              <w:autoSpaceDN w:val="0"/>
              <w:adjustRightInd w:val="0"/>
              <w:spacing w:before="0"/>
              <w:rPr>
                <w:rFonts w:asciiTheme="minorHAnsi" w:hAnsiTheme="minorHAnsi" w:cstheme="minorHAnsi"/>
                <w:b/>
                <w:bCs/>
                <w:szCs w:val="22"/>
              </w:rPr>
            </w:pPr>
            <w:r w:rsidRPr="00EE12E4">
              <w:rPr>
                <w:rFonts w:asciiTheme="minorHAnsi" w:hAnsiTheme="minorHAnsi" w:cstheme="minorHAnsi"/>
                <w:b/>
                <w:bCs/>
                <w:szCs w:val="22"/>
              </w:rPr>
              <w:t>Policy &amp; Programs</w:t>
            </w:r>
          </w:p>
          <w:p w14:paraId="03565BA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D3.14. Design a system-level intervention to address a public health issue</w:t>
            </w:r>
          </w:p>
          <w:p w14:paraId="2306ADF2"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D3.15. Integrate knowledge of cultural values and practices in the design of public health policies</w:t>
            </w:r>
          </w:p>
          <w:p w14:paraId="524BF10F"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and programs</w:t>
            </w:r>
          </w:p>
          <w:p w14:paraId="466BA59D"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D3.16. Integrate scientific information, legal and regulatory approaches, ethical frameworks and</w:t>
            </w:r>
          </w:p>
          <w:p w14:paraId="2ABD57B8"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varied stakeholder interests in policy development and analysis</w:t>
            </w:r>
          </w:p>
          <w:p w14:paraId="3CDB05F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D3.17. Propose interprofessional team approaches to improving public health</w:t>
            </w:r>
          </w:p>
          <w:p w14:paraId="39807939" w14:textId="77777777" w:rsidR="00EE12E4" w:rsidRPr="00EE12E4" w:rsidRDefault="00EE12E4" w:rsidP="00EE12E4">
            <w:pPr>
              <w:autoSpaceDE w:val="0"/>
              <w:autoSpaceDN w:val="0"/>
              <w:adjustRightInd w:val="0"/>
              <w:spacing w:before="0"/>
              <w:rPr>
                <w:rFonts w:asciiTheme="minorHAnsi" w:hAnsiTheme="minorHAnsi" w:cstheme="minorHAnsi"/>
                <w:b/>
                <w:bCs/>
                <w:szCs w:val="22"/>
              </w:rPr>
            </w:pPr>
          </w:p>
          <w:p w14:paraId="10B744CB" w14:textId="77777777" w:rsidR="00EE12E4" w:rsidRPr="00EE12E4" w:rsidRDefault="00EE12E4" w:rsidP="00EE12E4">
            <w:pPr>
              <w:autoSpaceDE w:val="0"/>
              <w:autoSpaceDN w:val="0"/>
              <w:adjustRightInd w:val="0"/>
              <w:spacing w:before="0"/>
              <w:rPr>
                <w:rFonts w:asciiTheme="minorHAnsi" w:hAnsiTheme="minorHAnsi" w:cstheme="minorHAnsi"/>
                <w:b/>
                <w:bCs/>
                <w:szCs w:val="22"/>
              </w:rPr>
            </w:pPr>
            <w:r w:rsidRPr="00EE12E4">
              <w:rPr>
                <w:rFonts w:asciiTheme="minorHAnsi" w:hAnsiTheme="minorHAnsi" w:cstheme="minorHAnsi"/>
                <w:b/>
                <w:bCs/>
                <w:szCs w:val="22"/>
              </w:rPr>
              <w:t>Education &amp; Workforce Development</w:t>
            </w:r>
          </w:p>
          <w:p w14:paraId="61D6E55A"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D3.18. Assess an audience’s knowledge and learning needs</w:t>
            </w:r>
          </w:p>
          <w:p w14:paraId="0C29A41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D3.19. Deliver training or educational experiences that promote learning in academic,</w:t>
            </w:r>
          </w:p>
          <w:p w14:paraId="3488932B"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organizational or community settings</w:t>
            </w:r>
          </w:p>
          <w:p w14:paraId="7682B4C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D3.20. Use best practice modalities in pedagogical practices</w:t>
            </w:r>
          </w:p>
          <w:p w14:paraId="0F5E4689" w14:textId="77777777" w:rsidR="00EE12E4" w:rsidRPr="00EE12E4" w:rsidRDefault="00EE12E4" w:rsidP="00EE12E4">
            <w:pPr>
              <w:spacing w:before="0"/>
              <w:rPr>
                <w:rFonts w:asciiTheme="minorHAnsi" w:hAnsiTheme="minorHAnsi" w:cstheme="minorHAnsi"/>
                <w:b/>
                <w:szCs w:val="22"/>
              </w:rPr>
            </w:pPr>
          </w:p>
        </w:tc>
      </w:tr>
      <w:tr w:rsidR="00EE12E4" w:rsidRPr="00EE12E4" w14:paraId="4C55F95D" w14:textId="77777777" w:rsidTr="00934689">
        <w:trPr>
          <w:jc w:val="center"/>
        </w:trPr>
        <w:tc>
          <w:tcPr>
            <w:tcW w:w="11160" w:type="dxa"/>
            <w:gridSpan w:val="3"/>
            <w:tcBorders>
              <w:top w:val="nil"/>
              <w:left w:val="nil"/>
              <w:bottom w:val="nil"/>
              <w:right w:val="nil"/>
            </w:tcBorders>
            <w:shd w:val="clear" w:color="auto" w:fill="auto"/>
          </w:tcPr>
          <w:p w14:paraId="47A97E10" w14:textId="77777777" w:rsidR="00EE12E4" w:rsidRPr="00EE12E4" w:rsidRDefault="00EE12E4" w:rsidP="000C7FB0">
            <w:pPr>
              <w:rPr>
                <w:rFonts w:asciiTheme="minorHAnsi" w:hAnsiTheme="minorHAnsi" w:cstheme="minorHAnsi"/>
                <w:b/>
                <w:szCs w:val="22"/>
              </w:rPr>
            </w:pPr>
            <w:r w:rsidRPr="00EE12E4">
              <w:rPr>
                <w:rFonts w:asciiTheme="minorHAnsi" w:hAnsiTheme="minorHAnsi" w:cstheme="minorHAnsi"/>
                <w:b/>
                <w:szCs w:val="22"/>
              </w:rPr>
              <w:t>HPCHC. MPH in Health Promotion and Community Health Sciences Concentration Competencies</w:t>
            </w:r>
          </w:p>
        </w:tc>
      </w:tr>
      <w:tr w:rsidR="00EE12E4" w:rsidRPr="00EE12E4" w14:paraId="1D0871EE" w14:textId="77777777" w:rsidTr="00934689">
        <w:trPr>
          <w:jc w:val="center"/>
        </w:trPr>
        <w:tc>
          <w:tcPr>
            <w:tcW w:w="11160" w:type="dxa"/>
            <w:gridSpan w:val="3"/>
            <w:tcBorders>
              <w:top w:val="nil"/>
              <w:left w:val="nil"/>
              <w:bottom w:val="nil"/>
              <w:right w:val="nil"/>
            </w:tcBorders>
            <w:shd w:val="clear" w:color="auto" w:fill="auto"/>
          </w:tcPr>
          <w:p w14:paraId="194C3E8D"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HPCHC.1. Analyze the determinants of health at both individual and social levels to identify intervention points.</w:t>
            </w:r>
          </w:p>
        </w:tc>
      </w:tr>
      <w:tr w:rsidR="00EE12E4" w:rsidRPr="00EE12E4" w14:paraId="002B2487" w14:textId="77777777" w:rsidTr="00934689">
        <w:trPr>
          <w:jc w:val="center"/>
        </w:trPr>
        <w:tc>
          <w:tcPr>
            <w:tcW w:w="11160" w:type="dxa"/>
            <w:gridSpan w:val="3"/>
            <w:tcBorders>
              <w:top w:val="nil"/>
              <w:left w:val="nil"/>
              <w:bottom w:val="nil"/>
              <w:right w:val="nil"/>
            </w:tcBorders>
            <w:shd w:val="clear" w:color="auto" w:fill="auto"/>
          </w:tcPr>
          <w:p w14:paraId="68076E9B"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HPCHC.2. Apply behavioral theories, concepts, and tools in addressing health problems in different populations and at different levels.</w:t>
            </w:r>
          </w:p>
        </w:tc>
      </w:tr>
      <w:tr w:rsidR="00EE12E4" w:rsidRPr="00EE12E4" w14:paraId="2F492C3A" w14:textId="77777777" w:rsidTr="00934689">
        <w:trPr>
          <w:jc w:val="center"/>
        </w:trPr>
        <w:tc>
          <w:tcPr>
            <w:tcW w:w="11160" w:type="dxa"/>
            <w:gridSpan w:val="3"/>
            <w:tcBorders>
              <w:top w:val="nil"/>
              <w:left w:val="nil"/>
              <w:bottom w:val="nil"/>
              <w:right w:val="nil"/>
            </w:tcBorders>
            <w:shd w:val="clear" w:color="auto" w:fill="auto"/>
          </w:tcPr>
          <w:p w14:paraId="1224F7F5"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 xml:space="preserve">HPCHC.3. Judge appropriate quantitative and qualitative methods at various stages of health promotion program development, </w:t>
            </w:r>
            <w:proofErr w:type="gramStart"/>
            <w:r w:rsidRPr="00EE12E4">
              <w:rPr>
                <w:rFonts w:asciiTheme="minorHAnsi" w:hAnsiTheme="minorHAnsi" w:cstheme="minorHAnsi"/>
                <w:szCs w:val="22"/>
              </w:rPr>
              <w:t>implementation</w:t>
            </w:r>
            <w:proofErr w:type="gramEnd"/>
            <w:r w:rsidRPr="00EE12E4">
              <w:rPr>
                <w:rFonts w:asciiTheme="minorHAnsi" w:hAnsiTheme="minorHAnsi" w:cstheme="minorHAnsi"/>
                <w:szCs w:val="22"/>
              </w:rPr>
              <w:t xml:space="preserve"> and evaluation.</w:t>
            </w:r>
          </w:p>
        </w:tc>
      </w:tr>
      <w:tr w:rsidR="00EE12E4" w:rsidRPr="00EE12E4" w14:paraId="1B9C32D5" w14:textId="77777777" w:rsidTr="00934689">
        <w:trPr>
          <w:jc w:val="center"/>
        </w:trPr>
        <w:tc>
          <w:tcPr>
            <w:tcW w:w="11160" w:type="dxa"/>
            <w:gridSpan w:val="3"/>
            <w:tcBorders>
              <w:top w:val="nil"/>
              <w:left w:val="nil"/>
              <w:bottom w:val="nil"/>
              <w:right w:val="nil"/>
            </w:tcBorders>
            <w:shd w:val="clear" w:color="auto" w:fill="auto"/>
          </w:tcPr>
          <w:p w14:paraId="25327416"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HPCHC.4. Develop and defend communication materials to inform policymakers and community members.</w:t>
            </w:r>
          </w:p>
        </w:tc>
      </w:tr>
      <w:tr w:rsidR="00EE12E4" w:rsidRPr="00EE12E4" w14:paraId="6686C9AD" w14:textId="77777777" w:rsidTr="00934689">
        <w:trPr>
          <w:jc w:val="center"/>
        </w:trPr>
        <w:tc>
          <w:tcPr>
            <w:tcW w:w="11160" w:type="dxa"/>
            <w:gridSpan w:val="3"/>
            <w:tcBorders>
              <w:top w:val="nil"/>
              <w:left w:val="nil"/>
              <w:bottom w:val="nil"/>
              <w:right w:val="nil"/>
            </w:tcBorders>
            <w:shd w:val="clear" w:color="auto" w:fill="auto"/>
          </w:tcPr>
          <w:p w14:paraId="5256C9C1"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HPCHC.5. Apply program management principles and tools to develop a program management plan, organize resources and work, and address frequently encountered problems.</w:t>
            </w:r>
          </w:p>
        </w:tc>
      </w:tr>
    </w:tbl>
    <w:p w14:paraId="747CA8C7" w14:textId="77777777" w:rsidR="00F2250B" w:rsidRDefault="00F2250B">
      <w:r>
        <w:br w:type="page"/>
      </w:r>
    </w:p>
    <w:tbl>
      <w:tblPr>
        <w:tblStyle w:val="TableGrid"/>
        <w:tblW w:w="11340" w:type="dxa"/>
        <w:jc w:val="center"/>
        <w:tblLook w:val="04A0" w:firstRow="1" w:lastRow="0" w:firstColumn="1" w:lastColumn="0" w:noHBand="0" w:noVBand="1"/>
      </w:tblPr>
      <w:tblGrid>
        <w:gridCol w:w="180"/>
        <w:gridCol w:w="10981"/>
        <w:gridCol w:w="179"/>
      </w:tblGrid>
      <w:tr w:rsidR="00EE12E4" w:rsidRPr="0065231A" w14:paraId="57D9DEA0"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24687EEC" w14:textId="2AC8CD67" w:rsidR="00EE12E4" w:rsidRPr="00EE12E4" w:rsidRDefault="00F2250B" w:rsidP="00F2250B">
            <w:pPr>
              <w:rPr>
                <w:rFonts w:asciiTheme="minorHAnsi" w:hAnsiTheme="minorHAnsi" w:cstheme="minorHAnsi"/>
                <w:b/>
                <w:szCs w:val="22"/>
              </w:rPr>
            </w:pPr>
            <w:r>
              <w:rPr>
                <w:rFonts w:asciiTheme="minorHAnsi" w:hAnsiTheme="minorHAnsi" w:cstheme="minorHAnsi"/>
                <w:b/>
                <w:szCs w:val="22"/>
              </w:rPr>
              <w:lastRenderedPageBreak/>
              <w:t>DRHP</w:t>
            </w:r>
            <w:r w:rsidRPr="00EE12E4">
              <w:rPr>
                <w:rFonts w:asciiTheme="minorHAnsi" w:hAnsiTheme="minorHAnsi" w:cstheme="minorHAnsi"/>
                <w:b/>
                <w:szCs w:val="22"/>
              </w:rPr>
              <w:t xml:space="preserve">. </w:t>
            </w:r>
            <w:r w:rsidR="00EE12E4" w:rsidRPr="00EE12E4">
              <w:rPr>
                <w:rFonts w:asciiTheme="minorHAnsi" w:hAnsiTheme="minorHAnsi" w:cstheme="minorHAnsi"/>
                <w:b/>
                <w:szCs w:val="22"/>
              </w:rPr>
              <w:t>DrPH in Health Promotion and Community Health Sciences Competencies</w:t>
            </w:r>
          </w:p>
        </w:tc>
      </w:tr>
      <w:tr w:rsidR="00EE12E4" w:rsidRPr="000B6AFD" w14:paraId="68465772"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5C3E977C"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color w:val="000000"/>
                <w:szCs w:val="22"/>
              </w:rPr>
              <w:t xml:space="preserve">DRHP.1. Analyze critical themes in public health history </w:t>
            </w:r>
            <w:proofErr w:type="gramStart"/>
            <w:r w:rsidRPr="00EE12E4">
              <w:rPr>
                <w:rFonts w:asciiTheme="minorHAnsi" w:hAnsiTheme="minorHAnsi" w:cstheme="minorHAnsi"/>
                <w:color w:val="000000"/>
                <w:szCs w:val="22"/>
              </w:rPr>
              <w:t>in order to</w:t>
            </w:r>
            <w:proofErr w:type="gramEnd"/>
            <w:r w:rsidRPr="00EE12E4">
              <w:rPr>
                <w:rFonts w:asciiTheme="minorHAnsi" w:hAnsiTheme="minorHAnsi" w:cstheme="minorHAnsi"/>
                <w:color w:val="000000"/>
                <w:szCs w:val="22"/>
              </w:rPr>
              <w:t xml:space="preserve"> argue how these relate to the evolution of public health, public health problems, and the future of public health.</w:t>
            </w:r>
          </w:p>
        </w:tc>
      </w:tr>
      <w:tr w:rsidR="00EE12E4" w:rsidRPr="000B6AFD" w14:paraId="20B70551"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6D95A3BA" w14:textId="77777777" w:rsidR="00EE12E4" w:rsidRPr="00EE12E4" w:rsidRDefault="00EE12E4" w:rsidP="000C7FB0">
            <w:pPr>
              <w:rPr>
                <w:rFonts w:asciiTheme="minorHAnsi" w:hAnsiTheme="minorHAnsi" w:cstheme="minorHAnsi"/>
                <w:color w:val="000000"/>
                <w:szCs w:val="22"/>
              </w:rPr>
            </w:pPr>
            <w:r w:rsidRPr="00EE12E4">
              <w:rPr>
                <w:rFonts w:asciiTheme="minorHAnsi" w:hAnsiTheme="minorHAnsi" w:cstheme="minorHAnsi"/>
                <w:color w:val="000000"/>
                <w:szCs w:val="22"/>
              </w:rPr>
              <w:t>DRHP.2. Develop appropriate conceptual models for addressing community health issues that integrate behavioral theories, concepts, and tools.</w:t>
            </w:r>
          </w:p>
        </w:tc>
      </w:tr>
      <w:tr w:rsidR="00EE12E4" w:rsidRPr="000B6AFD" w14:paraId="2F0EFB8E"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2853B9E3" w14:textId="77777777" w:rsidR="00EE12E4" w:rsidRPr="00EE12E4" w:rsidRDefault="00EE12E4" w:rsidP="000C7FB0">
            <w:pPr>
              <w:rPr>
                <w:rFonts w:asciiTheme="minorHAnsi" w:hAnsiTheme="minorHAnsi" w:cstheme="minorHAnsi"/>
                <w:color w:val="000000"/>
                <w:szCs w:val="22"/>
              </w:rPr>
            </w:pPr>
            <w:r w:rsidRPr="00EE12E4">
              <w:rPr>
                <w:rFonts w:asciiTheme="minorHAnsi" w:hAnsiTheme="minorHAnsi" w:cstheme="minorHAnsi"/>
                <w:color w:val="000000"/>
                <w:szCs w:val="22"/>
              </w:rPr>
              <w:t>DRHP.3. Design an evaluation plan appropriate for a multi-level community health/health promotion program.</w:t>
            </w:r>
          </w:p>
        </w:tc>
      </w:tr>
      <w:tr w:rsidR="00EE12E4" w:rsidRPr="000B6AFD" w14:paraId="49EC2BC7"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6CD53200" w14:textId="77777777" w:rsidR="00EE12E4" w:rsidRPr="00EE12E4" w:rsidRDefault="00EE12E4" w:rsidP="000C7FB0">
            <w:pPr>
              <w:rPr>
                <w:rFonts w:asciiTheme="minorHAnsi" w:hAnsiTheme="minorHAnsi" w:cstheme="minorHAnsi"/>
                <w:color w:val="000000"/>
                <w:szCs w:val="22"/>
              </w:rPr>
            </w:pPr>
            <w:r w:rsidRPr="00EE12E4">
              <w:rPr>
                <w:rFonts w:asciiTheme="minorHAnsi" w:hAnsiTheme="minorHAnsi" w:cstheme="minorHAnsi"/>
                <w:color w:val="000000"/>
                <w:szCs w:val="22"/>
              </w:rPr>
              <w:t>DRHP.4. Formulate a multi-level health promotion/community health-focused intervention, utilizing at least 2 of the 5 socio-ecological levels, and which integrates evidence-based theories and strategies.</w:t>
            </w:r>
          </w:p>
        </w:tc>
      </w:tr>
      <w:tr w:rsidR="00EE12E4" w:rsidRPr="000B6AFD" w14:paraId="47FCC368"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04583BDA" w14:textId="0C8FC56F" w:rsidR="00EE12E4" w:rsidRPr="00EE12E4" w:rsidRDefault="00EE12E4" w:rsidP="00DB4A43">
            <w:pPr>
              <w:rPr>
                <w:rFonts w:asciiTheme="minorHAnsi" w:hAnsiTheme="minorHAnsi" w:cstheme="minorHAnsi"/>
                <w:color w:val="000000"/>
                <w:szCs w:val="22"/>
              </w:rPr>
            </w:pPr>
            <w:r w:rsidRPr="00EE12E4">
              <w:rPr>
                <w:rFonts w:asciiTheme="minorHAnsi" w:hAnsiTheme="minorHAnsi" w:cstheme="minorHAnsi"/>
                <w:color w:val="000000"/>
                <w:szCs w:val="22"/>
              </w:rPr>
              <w:t xml:space="preserve">DRHP.5. </w:t>
            </w:r>
            <w:r w:rsidR="00DB4A43" w:rsidRPr="00DB4A43">
              <w:rPr>
                <w:rFonts w:asciiTheme="minorHAnsi" w:hAnsiTheme="minorHAnsi" w:cstheme="minorHAnsi"/>
              </w:rPr>
              <w:t>Critically assess and analyze peer reviewed articles related to health promotion or community health interventions, with focus on components (</w:t>
            </w:r>
            <w:proofErr w:type="gramStart"/>
            <w:r w:rsidR="00DB4A43" w:rsidRPr="00DB4A43">
              <w:rPr>
                <w:rFonts w:asciiTheme="minorHAnsi" w:hAnsiTheme="minorHAnsi" w:cstheme="minorHAnsi"/>
              </w:rPr>
              <w:t>i.e.</w:t>
            </w:r>
            <w:proofErr w:type="gramEnd"/>
            <w:r w:rsidR="00DB4A43" w:rsidRPr="00DB4A43">
              <w:rPr>
                <w:rFonts w:asciiTheme="minorHAnsi" w:hAnsiTheme="minorHAnsi" w:cstheme="minorHAnsi"/>
              </w:rPr>
              <w:t xml:space="preserve"> strength and validity of the hypothesis, study design and methods, results, conclusions) and public health significance of findings.</w:t>
            </w:r>
          </w:p>
        </w:tc>
      </w:tr>
      <w:tr w:rsidR="00EE12E4" w:rsidRPr="00CD622D" w14:paraId="0FB8B42F"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ACF59E6" w14:textId="3BEE5C83" w:rsidR="00EE12E4" w:rsidRPr="00F2250B" w:rsidRDefault="00F2250B" w:rsidP="000C7FB0">
            <w:pPr>
              <w:rPr>
                <w:rFonts w:asciiTheme="minorHAnsi" w:hAnsiTheme="minorHAnsi" w:cstheme="minorHAnsi"/>
                <w:b/>
                <w:szCs w:val="22"/>
              </w:rPr>
            </w:pPr>
            <w:r>
              <w:rPr>
                <w:rFonts w:asciiTheme="minorHAnsi" w:hAnsiTheme="minorHAnsi" w:cstheme="minorHAnsi"/>
                <w:b/>
                <w:szCs w:val="22"/>
              </w:rPr>
              <w:t>EPIC</w:t>
            </w:r>
            <w:r w:rsidR="00EE12E4" w:rsidRPr="00F2250B">
              <w:rPr>
                <w:rFonts w:asciiTheme="minorHAnsi" w:hAnsiTheme="minorHAnsi" w:cstheme="minorHAnsi"/>
                <w:b/>
                <w:szCs w:val="22"/>
              </w:rPr>
              <w:t>. MPH in Epidemiology Concentration Competencies</w:t>
            </w:r>
          </w:p>
        </w:tc>
      </w:tr>
      <w:tr w:rsidR="00EE12E4" w:rsidRPr="007B0FE2" w14:paraId="619EDF0E"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BE52A91"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EPIC.1. Select epidemiologic methods that are appropriate to address epidemiologic content areas.</w:t>
            </w:r>
          </w:p>
        </w:tc>
      </w:tr>
      <w:tr w:rsidR="00EE12E4" w:rsidRPr="007B0FE2" w14:paraId="7BC1960C"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26E008E2"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EPIC.2. Analyze strengths and limitations of study designs for providing evidence for causal associations.</w:t>
            </w:r>
          </w:p>
        </w:tc>
      </w:tr>
      <w:tr w:rsidR="00EE12E4" w:rsidRPr="007B0FE2" w14:paraId="217074AE"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CA6434B"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EPIC.3. Apply appropriate advanced data analysis and management techniques to analyze epidemiologic data.</w:t>
            </w:r>
          </w:p>
        </w:tc>
      </w:tr>
      <w:tr w:rsidR="00EE12E4" w:rsidRPr="007B0FE2" w14:paraId="10FFA087"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2390848"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EPIC.4. Assess and compare different reporting formats to communicate epidemiologic data to a variety of audiences.</w:t>
            </w:r>
          </w:p>
        </w:tc>
      </w:tr>
      <w:tr w:rsidR="00EE12E4" w:rsidRPr="007B0FE2" w14:paraId="4E75F100"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9BE23F3"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EPIC.5. Explain the role of epidemiology in developing, implementing, and evaluating health policy.</w:t>
            </w:r>
          </w:p>
        </w:tc>
      </w:tr>
      <w:tr w:rsidR="00EE12E4" w:rsidRPr="00CD622D" w14:paraId="6A9DD160"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2F2647D0" w14:textId="04C9A9F4" w:rsidR="00EE12E4" w:rsidRPr="00F2250B" w:rsidRDefault="00F2250B" w:rsidP="000C7FB0">
            <w:pPr>
              <w:rPr>
                <w:rFonts w:asciiTheme="minorHAnsi" w:hAnsiTheme="minorHAnsi" w:cstheme="minorHAnsi"/>
                <w:b/>
                <w:szCs w:val="22"/>
              </w:rPr>
            </w:pPr>
            <w:r>
              <w:rPr>
                <w:rFonts w:asciiTheme="minorHAnsi" w:hAnsiTheme="minorHAnsi" w:cstheme="minorHAnsi"/>
                <w:b/>
                <w:szCs w:val="22"/>
              </w:rPr>
              <w:t>BIO</w:t>
            </w:r>
            <w:r w:rsidR="00EE12E4" w:rsidRPr="00F2250B">
              <w:rPr>
                <w:rFonts w:asciiTheme="minorHAnsi" w:hAnsiTheme="minorHAnsi" w:cstheme="minorHAnsi"/>
                <w:b/>
                <w:szCs w:val="22"/>
              </w:rPr>
              <w:t>C. MPH in Biostatistics Concentration Competencies</w:t>
            </w:r>
          </w:p>
        </w:tc>
      </w:tr>
      <w:tr w:rsidR="00EE12E4" w:rsidRPr="00CD622D" w14:paraId="28059953"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3762F69"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BIOC.1. Translate research questions or aims into testable hypotheses and propose appropriate statistical methods to test those hypotheses.</w:t>
            </w:r>
          </w:p>
        </w:tc>
      </w:tr>
      <w:tr w:rsidR="00EE12E4" w:rsidRPr="007B0FE2" w14:paraId="688FD395"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9D7D83F"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BIOC.2. Apply statistical methods that assure a study is adequately powered for achieving scientific aims or testing a specific research hypothesis.</w:t>
            </w:r>
          </w:p>
        </w:tc>
      </w:tr>
      <w:tr w:rsidR="00EE12E4" w:rsidRPr="007B0FE2" w14:paraId="6820D44F"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0B4EE24"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BIOC.3. Evaluate and recommend study designs based on identified strengths and weaknesses and desired study goals.</w:t>
            </w:r>
          </w:p>
        </w:tc>
      </w:tr>
      <w:tr w:rsidR="00EE12E4" w:rsidRPr="007B0FE2" w14:paraId="4CAE2850"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E7DD701"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BIOC.4. Analyze and interpret data using a variety of advanced analytical tools.</w:t>
            </w:r>
          </w:p>
        </w:tc>
      </w:tr>
      <w:tr w:rsidR="00EE12E4" w:rsidRPr="007B0FE2" w14:paraId="468BAF91"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504D74E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BIOC.5. Communicate commonly used statistical ideas and methods to collaborators in non-technical terms.</w:t>
            </w:r>
          </w:p>
        </w:tc>
      </w:tr>
      <w:tr w:rsidR="00EE12E4" w:rsidRPr="00FE258A" w14:paraId="54270B18"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65C510EC" w14:textId="34F87AE8" w:rsidR="00EE12E4" w:rsidRPr="00F2250B" w:rsidRDefault="00F2250B" w:rsidP="000C7FB0">
            <w:pPr>
              <w:rPr>
                <w:rFonts w:asciiTheme="minorHAnsi" w:hAnsiTheme="minorHAnsi" w:cstheme="minorHAnsi"/>
                <w:b/>
                <w:szCs w:val="22"/>
              </w:rPr>
            </w:pPr>
            <w:r>
              <w:rPr>
                <w:rFonts w:asciiTheme="minorHAnsi" w:hAnsiTheme="minorHAnsi" w:cstheme="minorHAnsi"/>
                <w:b/>
                <w:szCs w:val="22"/>
              </w:rPr>
              <w:t>DREP. Dr</w:t>
            </w:r>
            <w:r w:rsidR="00EE12E4" w:rsidRPr="00F2250B">
              <w:rPr>
                <w:rFonts w:asciiTheme="minorHAnsi" w:hAnsiTheme="minorHAnsi" w:cstheme="minorHAnsi"/>
                <w:b/>
                <w:szCs w:val="22"/>
              </w:rPr>
              <w:t>PH in Epidemiology Competencies</w:t>
            </w:r>
          </w:p>
        </w:tc>
      </w:tr>
      <w:tr w:rsidR="00EE12E4" w:rsidRPr="007F70EE" w14:paraId="7DAB7726"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8E17DFE" w14:textId="77777777" w:rsidR="00EE12E4" w:rsidRPr="00F2250B" w:rsidRDefault="00EE12E4" w:rsidP="000C7FB0">
            <w:pPr>
              <w:rPr>
                <w:rFonts w:asciiTheme="minorHAnsi" w:hAnsiTheme="minorHAnsi" w:cstheme="minorHAnsi"/>
                <w:color w:val="000000"/>
                <w:szCs w:val="22"/>
              </w:rPr>
            </w:pPr>
            <w:r w:rsidRPr="00F2250B">
              <w:rPr>
                <w:rFonts w:asciiTheme="minorHAnsi" w:hAnsiTheme="minorHAnsi" w:cstheme="minorHAnsi"/>
                <w:szCs w:val="22"/>
              </w:rPr>
              <w:t xml:space="preserve">DREP.1. </w:t>
            </w:r>
            <w:r w:rsidRPr="00F2250B">
              <w:rPr>
                <w:rFonts w:asciiTheme="minorHAnsi" w:hAnsiTheme="minorHAnsi" w:cstheme="minorHAnsi"/>
                <w:color w:val="000000"/>
                <w:szCs w:val="22"/>
              </w:rPr>
              <w:t>Use epidemiologic evidence to make inferences about the scope and magnitude of threats to public health.</w:t>
            </w:r>
          </w:p>
        </w:tc>
      </w:tr>
      <w:tr w:rsidR="00EE12E4" w:rsidRPr="007F70EE" w14:paraId="43A52D21"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606F301"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 xml:space="preserve">DREP.2. </w:t>
            </w:r>
            <w:r w:rsidRPr="00F2250B">
              <w:rPr>
                <w:rFonts w:asciiTheme="minorHAnsi" w:hAnsiTheme="minorHAnsi" w:cstheme="minorHAnsi"/>
                <w:color w:val="000000"/>
                <w:szCs w:val="22"/>
              </w:rPr>
              <w:t>Plan, implement, and evaluate a public health study to assess a threat to population health.</w:t>
            </w:r>
          </w:p>
        </w:tc>
      </w:tr>
      <w:tr w:rsidR="00EE12E4" w:rsidRPr="007F70EE" w14:paraId="343EE6C1"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2C11492" w14:textId="77777777" w:rsidR="00EE12E4" w:rsidRPr="00F2250B" w:rsidRDefault="00EE12E4" w:rsidP="000C7FB0">
            <w:pPr>
              <w:rPr>
                <w:rFonts w:asciiTheme="minorHAnsi" w:hAnsiTheme="minorHAnsi" w:cstheme="minorHAnsi"/>
                <w:color w:val="000000"/>
                <w:szCs w:val="22"/>
              </w:rPr>
            </w:pPr>
            <w:r w:rsidRPr="00F2250B">
              <w:rPr>
                <w:rFonts w:asciiTheme="minorHAnsi" w:hAnsiTheme="minorHAnsi" w:cstheme="minorHAnsi"/>
                <w:szCs w:val="22"/>
              </w:rPr>
              <w:t xml:space="preserve">DREP.3. </w:t>
            </w:r>
            <w:r w:rsidRPr="00F2250B">
              <w:rPr>
                <w:rFonts w:asciiTheme="minorHAnsi" w:hAnsiTheme="minorHAnsi" w:cstheme="minorHAnsi"/>
                <w:color w:val="000000"/>
                <w:szCs w:val="22"/>
              </w:rPr>
              <w:t>Utilize theoretical foundations to address critical public health issues.</w:t>
            </w:r>
          </w:p>
        </w:tc>
      </w:tr>
      <w:tr w:rsidR="00EE12E4" w:rsidRPr="007F70EE" w14:paraId="37C497BE"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6C27390D"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 xml:space="preserve">DREP.4. </w:t>
            </w:r>
            <w:r w:rsidRPr="00F2250B">
              <w:rPr>
                <w:rFonts w:asciiTheme="minorHAnsi" w:hAnsiTheme="minorHAnsi" w:cstheme="minorHAnsi"/>
                <w:color w:val="000000"/>
                <w:szCs w:val="22"/>
              </w:rPr>
              <w:t>Connect epidemiology to interdisciplinary research.</w:t>
            </w:r>
          </w:p>
        </w:tc>
      </w:tr>
      <w:tr w:rsidR="00EE12E4" w:rsidRPr="007F70EE" w14:paraId="3A6F6953"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2EA2E672" w14:textId="3BA9664C" w:rsidR="00EE12E4" w:rsidRPr="00F2250B" w:rsidRDefault="00EE12E4" w:rsidP="000C7FB0">
            <w:pPr>
              <w:rPr>
                <w:rFonts w:asciiTheme="minorHAnsi" w:hAnsiTheme="minorHAnsi" w:cstheme="minorHAnsi"/>
                <w:color w:val="000000"/>
                <w:szCs w:val="22"/>
              </w:rPr>
            </w:pPr>
            <w:r w:rsidRPr="00F2250B">
              <w:rPr>
                <w:rFonts w:asciiTheme="minorHAnsi" w:hAnsiTheme="minorHAnsi" w:cstheme="minorHAnsi"/>
                <w:szCs w:val="22"/>
              </w:rPr>
              <w:t xml:space="preserve">DREP.5. </w:t>
            </w:r>
            <w:r w:rsidRPr="00F2250B">
              <w:rPr>
                <w:rFonts w:asciiTheme="minorHAnsi" w:hAnsiTheme="minorHAnsi" w:cstheme="minorHAnsi"/>
                <w:color w:val="000000"/>
                <w:szCs w:val="22"/>
              </w:rPr>
              <w:t xml:space="preserve">Prepare reports and scholarly presentations and participate in conference presentations </w:t>
            </w:r>
            <w:proofErr w:type="gramStart"/>
            <w:r w:rsidRPr="00F2250B">
              <w:rPr>
                <w:rFonts w:asciiTheme="minorHAnsi" w:hAnsiTheme="minorHAnsi" w:cstheme="minorHAnsi"/>
                <w:color w:val="000000"/>
                <w:szCs w:val="22"/>
              </w:rPr>
              <w:t>in order to</w:t>
            </w:r>
            <w:proofErr w:type="gramEnd"/>
            <w:r w:rsidRPr="00F2250B">
              <w:rPr>
                <w:rFonts w:asciiTheme="minorHAnsi" w:hAnsiTheme="minorHAnsi" w:cstheme="minorHAnsi"/>
                <w:color w:val="000000"/>
                <w:szCs w:val="22"/>
              </w:rPr>
              <w:t xml:space="preserve"> appropriately influence relevant state-of-the-art practice.</w:t>
            </w:r>
          </w:p>
        </w:tc>
      </w:tr>
      <w:tr w:rsidR="00EE12E4" w:rsidRPr="007B0FE2" w14:paraId="2A2BDAFF" w14:textId="77777777" w:rsidTr="00254AA0">
        <w:tblPrEx>
          <w:jc w:val="left"/>
        </w:tblPrEx>
        <w:trPr>
          <w:gridBefore w:val="1"/>
          <w:wBefore w:w="180" w:type="dxa"/>
        </w:trPr>
        <w:tc>
          <w:tcPr>
            <w:tcW w:w="11160" w:type="dxa"/>
            <w:gridSpan w:val="2"/>
            <w:tcBorders>
              <w:top w:val="nil"/>
              <w:left w:val="nil"/>
              <w:bottom w:val="nil"/>
              <w:right w:val="nil"/>
            </w:tcBorders>
          </w:tcPr>
          <w:p w14:paraId="5F285AAF"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bCs/>
                <w:szCs w:val="22"/>
              </w:rPr>
              <w:t>EHC. MPH in Environmental Health Concentration Competencies</w:t>
            </w:r>
          </w:p>
        </w:tc>
      </w:tr>
      <w:tr w:rsidR="00EE12E4" w:rsidRPr="007B0FE2" w14:paraId="2E3EEF9D" w14:textId="77777777" w:rsidTr="00254AA0">
        <w:tblPrEx>
          <w:jc w:val="left"/>
        </w:tblPrEx>
        <w:trPr>
          <w:gridBefore w:val="1"/>
          <w:wBefore w:w="180" w:type="dxa"/>
        </w:trPr>
        <w:tc>
          <w:tcPr>
            <w:tcW w:w="11160" w:type="dxa"/>
            <w:gridSpan w:val="2"/>
            <w:tcBorders>
              <w:top w:val="nil"/>
              <w:left w:val="nil"/>
              <w:bottom w:val="nil"/>
              <w:right w:val="nil"/>
            </w:tcBorders>
          </w:tcPr>
          <w:p w14:paraId="6F7D1FE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EHC.1. Develop and implement strategies for mitigating environmental health hazards.</w:t>
            </w:r>
          </w:p>
        </w:tc>
      </w:tr>
      <w:tr w:rsidR="00EE12E4" w:rsidRPr="007B0FE2" w14:paraId="71B34A60" w14:textId="77777777" w:rsidTr="00254AA0">
        <w:tblPrEx>
          <w:jc w:val="left"/>
        </w:tblPrEx>
        <w:trPr>
          <w:gridBefore w:val="1"/>
          <w:wBefore w:w="180" w:type="dxa"/>
        </w:trPr>
        <w:tc>
          <w:tcPr>
            <w:tcW w:w="11160" w:type="dxa"/>
            <w:gridSpan w:val="2"/>
            <w:tcBorders>
              <w:top w:val="nil"/>
              <w:left w:val="nil"/>
              <w:bottom w:val="nil"/>
              <w:right w:val="nil"/>
            </w:tcBorders>
          </w:tcPr>
          <w:p w14:paraId="3F7B2124"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EHC.2. Explain interactive factors that influence solutions for environmental health hazards.</w:t>
            </w:r>
          </w:p>
        </w:tc>
      </w:tr>
      <w:tr w:rsidR="00EE12E4" w:rsidRPr="007B0FE2" w14:paraId="5D35EC5B" w14:textId="77777777" w:rsidTr="00254AA0">
        <w:tblPrEx>
          <w:jc w:val="left"/>
        </w:tblPrEx>
        <w:trPr>
          <w:gridBefore w:val="1"/>
          <w:wBefore w:w="180" w:type="dxa"/>
        </w:trPr>
        <w:tc>
          <w:tcPr>
            <w:tcW w:w="11160" w:type="dxa"/>
            <w:gridSpan w:val="2"/>
            <w:tcBorders>
              <w:top w:val="nil"/>
              <w:left w:val="nil"/>
              <w:bottom w:val="nil"/>
              <w:right w:val="nil"/>
            </w:tcBorders>
          </w:tcPr>
          <w:p w14:paraId="06393F1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EHC.3. Evaluate policies to reduce environmental health risks and hazards.</w:t>
            </w:r>
          </w:p>
        </w:tc>
      </w:tr>
      <w:tr w:rsidR="00EE12E4" w:rsidRPr="007B0FE2" w14:paraId="792C8EA8" w14:textId="77777777" w:rsidTr="00254AA0">
        <w:tblPrEx>
          <w:jc w:val="left"/>
        </w:tblPrEx>
        <w:trPr>
          <w:gridBefore w:val="1"/>
          <w:wBefore w:w="180" w:type="dxa"/>
        </w:trPr>
        <w:tc>
          <w:tcPr>
            <w:tcW w:w="11160" w:type="dxa"/>
            <w:gridSpan w:val="2"/>
            <w:tcBorders>
              <w:top w:val="nil"/>
              <w:left w:val="nil"/>
              <w:bottom w:val="nil"/>
              <w:right w:val="nil"/>
            </w:tcBorders>
          </w:tcPr>
          <w:p w14:paraId="78B95631"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EHC.4. Apply the current best practices for risk assessment and risk communication.</w:t>
            </w:r>
          </w:p>
        </w:tc>
      </w:tr>
      <w:tr w:rsidR="00EE12E4" w:rsidRPr="00FE258A" w14:paraId="1D626752" w14:textId="77777777" w:rsidTr="00254AA0">
        <w:tblPrEx>
          <w:jc w:val="left"/>
        </w:tblPrEx>
        <w:trPr>
          <w:gridBefore w:val="1"/>
          <w:wBefore w:w="180" w:type="dxa"/>
        </w:trPr>
        <w:tc>
          <w:tcPr>
            <w:tcW w:w="11160" w:type="dxa"/>
            <w:gridSpan w:val="2"/>
            <w:tcBorders>
              <w:top w:val="nil"/>
              <w:left w:val="nil"/>
              <w:bottom w:val="nil"/>
              <w:right w:val="nil"/>
            </w:tcBorders>
          </w:tcPr>
          <w:p w14:paraId="3D69C2C9" w14:textId="77777777" w:rsidR="00EE12E4" w:rsidRPr="00F2250B" w:rsidRDefault="00EE12E4" w:rsidP="000C7FB0">
            <w:pPr>
              <w:autoSpaceDE w:val="0"/>
              <w:autoSpaceDN w:val="0"/>
              <w:adjustRightInd w:val="0"/>
              <w:rPr>
                <w:rFonts w:asciiTheme="minorHAnsi" w:hAnsiTheme="minorHAnsi" w:cstheme="minorHAnsi"/>
                <w:szCs w:val="22"/>
              </w:rPr>
            </w:pPr>
            <w:r w:rsidRPr="00F2250B">
              <w:rPr>
                <w:rFonts w:asciiTheme="minorHAnsi" w:hAnsiTheme="minorHAnsi" w:cstheme="minorHAnsi"/>
                <w:szCs w:val="22"/>
              </w:rPr>
              <w:lastRenderedPageBreak/>
              <w:t>EHC.5. Compare federal and state regulatory programs, guidelines and authorities that control environmental health issues.</w:t>
            </w:r>
          </w:p>
        </w:tc>
      </w:tr>
      <w:tr w:rsidR="00EE12E4" w:rsidRPr="007B0FE2" w14:paraId="26A9097C" w14:textId="77777777" w:rsidTr="00254AA0">
        <w:tblPrEx>
          <w:jc w:val="left"/>
        </w:tblPrEx>
        <w:trPr>
          <w:gridAfter w:val="1"/>
          <w:wAfter w:w="179" w:type="dxa"/>
        </w:trPr>
        <w:tc>
          <w:tcPr>
            <w:tcW w:w="11161" w:type="dxa"/>
            <w:gridSpan w:val="2"/>
            <w:tcBorders>
              <w:top w:val="nil"/>
              <w:left w:val="nil"/>
              <w:bottom w:val="nil"/>
              <w:right w:val="nil"/>
            </w:tcBorders>
          </w:tcPr>
          <w:p w14:paraId="52411AAC" w14:textId="01989B61" w:rsidR="00EE12E4" w:rsidRPr="00F2250B" w:rsidRDefault="00EE12E4" w:rsidP="000C7FB0">
            <w:pPr>
              <w:rPr>
                <w:rFonts w:asciiTheme="minorHAnsi" w:hAnsiTheme="minorHAnsi" w:cstheme="minorHAnsi"/>
                <w:szCs w:val="22"/>
              </w:rPr>
            </w:pPr>
            <w:r w:rsidRPr="00F2250B">
              <w:rPr>
                <w:rFonts w:asciiTheme="minorHAnsi" w:hAnsiTheme="minorHAnsi" w:cstheme="minorHAnsi"/>
                <w:b/>
                <w:bCs/>
                <w:szCs w:val="22"/>
              </w:rPr>
              <w:t>OHC. MPH in Occupational Health Concentration Competencies</w:t>
            </w:r>
          </w:p>
        </w:tc>
      </w:tr>
      <w:tr w:rsidR="00EE12E4" w:rsidRPr="007B0FE2" w14:paraId="799367F1" w14:textId="77777777" w:rsidTr="00254AA0">
        <w:tblPrEx>
          <w:jc w:val="left"/>
        </w:tblPrEx>
        <w:trPr>
          <w:gridAfter w:val="1"/>
          <w:wAfter w:w="179" w:type="dxa"/>
        </w:trPr>
        <w:tc>
          <w:tcPr>
            <w:tcW w:w="11161" w:type="dxa"/>
            <w:gridSpan w:val="2"/>
            <w:tcBorders>
              <w:top w:val="nil"/>
              <w:left w:val="nil"/>
              <w:bottom w:val="nil"/>
              <w:right w:val="nil"/>
            </w:tcBorders>
          </w:tcPr>
          <w:p w14:paraId="3DDD9B1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OHC.1. Evaluate occupational health risk in work settings.</w:t>
            </w:r>
          </w:p>
        </w:tc>
      </w:tr>
      <w:tr w:rsidR="00EE12E4" w:rsidRPr="007B0FE2" w14:paraId="64786411" w14:textId="77777777" w:rsidTr="00254AA0">
        <w:tblPrEx>
          <w:jc w:val="left"/>
        </w:tblPrEx>
        <w:trPr>
          <w:gridAfter w:val="1"/>
          <w:wAfter w:w="179" w:type="dxa"/>
        </w:trPr>
        <w:tc>
          <w:tcPr>
            <w:tcW w:w="11161" w:type="dxa"/>
            <w:gridSpan w:val="2"/>
            <w:tcBorders>
              <w:top w:val="nil"/>
              <w:left w:val="nil"/>
              <w:bottom w:val="nil"/>
              <w:right w:val="nil"/>
            </w:tcBorders>
          </w:tcPr>
          <w:p w14:paraId="2707774C"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OHC.2. Implement theoretical models relevant to Occupational Health risk evaluation in the lab or field.</w:t>
            </w:r>
          </w:p>
        </w:tc>
      </w:tr>
      <w:tr w:rsidR="00EE12E4" w:rsidRPr="007B0FE2" w14:paraId="1B5483E9" w14:textId="77777777" w:rsidTr="00254AA0">
        <w:tblPrEx>
          <w:jc w:val="left"/>
        </w:tblPrEx>
        <w:trPr>
          <w:gridAfter w:val="1"/>
          <w:wAfter w:w="179" w:type="dxa"/>
        </w:trPr>
        <w:tc>
          <w:tcPr>
            <w:tcW w:w="11161" w:type="dxa"/>
            <w:gridSpan w:val="2"/>
            <w:tcBorders>
              <w:top w:val="nil"/>
              <w:left w:val="nil"/>
              <w:bottom w:val="nil"/>
              <w:right w:val="nil"/>
            </w:tcBorders>
          </w:tcPr>
          <w:p w14:paraId="79A3C89F"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OHC.3. Appraise experimental designs to appropriately address specific research questions in the field of Occupational Health.</w:t>
            </w:r>
          </w:p>
        </w:tc>
      </w:tr>
      <w:tr w:rsidR="00EE12E4" w:rsidRPr="007B0FE2" w14:paraId="2422F517" w14:textId="77777777" w:rsidTr="00254AA0">
        <w:tblPrEx>
          <w:jc w:val="left"/>
        </w:tblPrEx>
        <w:trPr>
          <w:gridAfter w:val="1"/>
          <w:wAfter w:w="179" w:type="dxa"/>
        </w:trPr>
        <w:tc>
          <w:tcPr>
            <w:tcW w:w="11161" w:type="dxa"/>
            <w:gridSpan w:val="2"/>
            <w:tcBorders>
              <w:top w:val="nil"/>
              <w:left w:val="nil"/>
              <w:bottom w:val="nil"/>
              <w:right w:val="nil"/>
            </w:tcBorders>
          </w:tcPr>
          <w:p w14:paraId="145536C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OHC.4. Synthesize knowledge of analytical techniques with theoretical models in Occupational Health to solve field problems.</w:t>
            </w:r>
          </w:p>
        </w:tc>
      </w:tr>
      <w:tr w:rsidR="00EE12E4" w:rsidRPr="007B0FE2" w14:paraId="527361AA" w14:textId="77777777" w:rsidTr="00254AA0">
        <w:tblPrEx>
          <w:jc w:val="left"/>
        </w:tblPrEx>
        <w:trPr>
          <w:gridAfter w:val="1"/>
          <w:wAfter w:w="179" w:type="dxa"/>
        </w:trPr>
        <w:tc>
          <w:tcPr>
            <w:tcW w:w="11161" w:type="dxa"/>
            <w:gridSpan w:val="2"/>
            <w:tcBorders>
              <w:top w:val="nil"/>
              <w:left w:val="nil"/>
              <w:bottom w:val="nil"/>
              <w:right w:val="nil"/>
            </w:tcBorders>
          </w:tcPr>
          <w:p w14:paraId="6C213EC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OHC.5. Develop &amp; defend research plans appropriate for industrial or academic audience.</w:t>
            </w:r>
          </w:p>
        </w:tc>
      </w:tr>
      <w:tr w:rsidR="00EE12E4" w:rsidRPr="007B0FE2" w14:paraId="50C396BD" w14:textId="77777777" w:rsidTr="00254AA0">
        <w:tblPrEx>
          <w:jc w:val="left"/>
        </w:tblPrEx>
        <w:trPr>
          <w:gridAfter w:val="1"/>
          <w:wAfter w:w="179" w:type="dxa"/>
        </w:trPr>
        <w:tc>
          <w:tcPr>
            <w:tcW w:w="11161" w:type="dxa"/>
            <w:gridSpan w:val="2"/>
            <w:tcBorders>
              <w:top w:val="nil"/>
              <w:left w:val="nil"/>
              <w:bottom w:val="nil"/>
              <w:right w:val="nil"/>
            </w:tcBorders>
          </w:tcPr>
          <w:p w14:paraId="20BEBF74" w14:textId="1CF80DEF" w:rsidR="00EE12E4" w:rsidRPr="00F2250B" w:rsidRDefault="00F2250B" w:rsidP="000C7FB0">
            <w:pPr>
              <w:rPr>
                <w:rFonts w:asciiTheme="minorHAnsi" w:hAnsiTheme="minorHAnsi" w:cstheme="minorHAnsi"/>
                <w:szCs w:val="22"/>
              </w:rPr>
            </w:pPr>
            <w:r>
              <w:rPr>
                <w:rFonts w:asciiTheme="minorHAnsi" w:hAnsiTheme="minorHAnsi" w:cstheme="minorHAnsi"/>
                <w:b/>
                <w:bCs/>
                <w:szCs w:val="22"/>
              </w:rPr>
              <w:t>DREH. Dr</w:t>
            </w:r>
            <w:r w:rsidR="00EE12E4" w:rsidRPr="00F2250B">
              <w:rPr>
                <w:rFonts w:asciiTheme="minorHAnsi" w:hAnsiTheme="minorHAnsi" w:cstheme="minorHAnsi"/>
                <w:b/>
                <w:bCs/>
                <w:szCs w:val="22"/>
              </w:rPr>
              <w:t>PH in Environmental Health Competencies</w:t>
            </w:r>
          </w:p>
        </w:tc>
      </w:tr>
      <w:tr w:rsidR="00EE12E4" w:rsidRPr="007B0FE2" w14:paraId="4DCF2EF9" w14:textId="77777777" w:rsidTr="00254AA0">
        <w:tblPrEx>
          <w:jc w:val="left"/>
        </w:tblPrEx>
        <w:trPr>
          <w:gridAfter w:val="1"/>
          <w:wAfter w:w="179" w:type="dxa"/>
        </w:trPr>
        <w:tc>
          <w:tcPr>
            <w:tcW w:w="11161" w:type="dxa"/>
            <w:gridSpan w:val="2"/>
            <w:tcBorders>
              <w:top w:val="nil"/>
              <w:left w:val="nil"/>
              <w:bottom w:val="nil"/>
              <w:right w:val="nil"/>
            </w:tcBorders>
          </w:tcPr>
          <w:p w14:paraId="7A7AA314"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DREH.1. Evaluate the influence of susceptibility based on a hazards’ biological mode of action. Assess the impact of major environmental determinants of human disease on the likelihood of adverse effects.</w:t>
            </w:r>
          </w:p>
        </w:tc>
      </w:tr>
      <w:tr w:rsidR="00EE12E4" w:rsidRPr="007B0FE2" w14:paraId="50C66BE5" w14:textId="77777777" w:rsidTr="00254AA0">
        <w:tblPrEx>
          <w:jc w:val="left"/>
        </w:tblPrEx>
        <w:trPr>
          <w:gridAfter w:val="1"/>
          <w:wAfter w:w="179" w:type="dxa"/>
        </w:trPr>
        <w:tc>
          <w:tcPr>
            <w:tcW w:w="11161" w:type="dxa"/>
            <w:gridSpan w:val="2"/>
            <w:tcBorders>
              <w:top w:val="nil"/>
              <w:left w:val="nil"/>
              <w:bottom w:val="nil"/>
              <w:right w:val="nil"/>
            </w:tcBorders>
          </w:tcPr>
          <w:p w14:paraId="2049F84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DREH.2. Interpret concentrations or doses of health hazards compared with risk based and non-</w:t>
            </w:r>
            <w:proofErr w:type="gramStart"/>
            <w:r w:rsidRPr="00F2250B">
              <w:rPr>
                <w:rFonts w:asciiTheme="minorHAnsi" w:hAnsiTheme="minorHAnsi" w:cstheme="minorHAnsi"/>
                <w:szCs w:val="22"/>
              </w:rPr>
              <w:t>risk based</w:t>
            </w:r>
            <w:proofErr w:type="gramEnd"/>
            <w:r w:rsidRPr="00F2250B">
              <w:rPr>
                <w:rFonts w:asciiTheme="minorHAnsi" w:hAnsiTheme="minorHAnsi" w:cstheme="minorHAnsi"/>
                <w:szCs w:val="22"/>
              </w:rPr>
              <w:t xml:space="preserve"> criteria and guidelines</w:t>
            </w:r>
          </w:p>
        </w:tc>
      </w:tr>
      <w:tr w:rsidR="00EE12E4" w:rsidRPr="007B0FE2" w14:paraId="3CE23DF8" w14:textId="77777777" w:rsidTr="00254AA0">
        <w:tblPrEx>
          <w:jc w:val="left"/>
        </w:tblPrEx>
        <w:trPr>
          <w:gridAfter w:val="1"/>
          <w:wAfter w:w="179" w:type="dxa"/>
        </w:trPr>
        <w:tc>
          <w:tcPr>
            <w:tcW w:w="11161" w:type="dxa"/>
            <w:gridSpan w:val="2"/>
            <w:tcBorders>
              <w:top w:val="nil"/>
              <w:left w:val="nil"/>
              <w:bottom w:val="nil"/>
              <w:right w:val="nil"/>
            </w:tcBorders>
          </w:tcPr>
          <w:p w14:paraId="6726218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DREH.3. Develop intervention and prevention strategies to help vulnerable communities improve their health by reducing exposures to environmental hazards.</w:t>
            </w:r>
          </w:p>
        </w:tc>
      </w:tr>
      <w:tr w:rsidR="00EE12E4" w:rsidRPr="007B0FE2" w14:paraId="41F40D6D" w14:textId="77777777" w:rsidTr="00254AA0">
        <w:tblPrEx>
          <w:jc w:val="left"/>
        </w:tblPrEx>
        <w:trPr>
          <w:gridAfter w:val="1"/>
          <w:wAfter w:w="179" w:type="dxa"/>
        </w:trPr>
        <w:tc>
          <w:tcPr>
            <w:tcW w:w="11161" w:type="dxa"/>
            <w:gridSpan w:val="2"/>
            <w:tcBorders>
              <w:top w:val="nil"/>
              <w:left w:val="nil"/>
              <w:bottom w:val="nil"/>
              <w:right w:val="nil"/>
            </w:tcBorders>
          </w:tcPr>
          <w:p w14:paraId="4E7036D3"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DREH.4. Analyze environmental data and articulate the characteristics of major physical, radiological, chemical, and biological hazards.</w:t>
            </w:r>
          </w:p>
        </w:tc>
      </w:tr>
      <w:tr w:rsidR="00EE12E4" w:rsidRPr="007B0FE2" w14:paraId="344C3387" w14:textId="77777777" w:rsidTr="00254AA0">
        <w:tblPrEx>
          <w:jc w:val="left"/>
        </w:tblPrEx>
        <w:trPr>
          <w:gridAfter w:val="1"/>
          <w:wAfter w:w="179" w:type="dxa"/>
        </w:trPr>
        <w:tc>
          <w:tcPr>
            <w:tcW w:w="11161" w:type="dxa"/>
            <w:gridSpan w:val="2"/>
            <w:tcBorders>
              <w:top w:val="nil"/>
              <w:left w:val="nil"/>
              <w:bottom w:val="nil"/>
              <w:right w:val="nil"/>
            </w:tcBorders>
          </w:tcPr>
          <w:p w14:paraId="71CF2F08" w14:textId="46D6639D"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DREH.5. Critically assess peer-reviewed published articles related to environmental impacts on health. Analyze the strength and validity of the hypothesis, study design and methods, results, conclusions, and the public health significance.</w:t>
            </w:r>
          </w:p>
        </w:tc>
      </w:tr>
      <w:tr w:rsidR="00F2250B" w:rsidRPr="007B0FE2" w14:paraId="1324CAED" w14:textId="77777777" w:rsidTr="00254AA0">
        <w:tblPrEx>
          <w:jc w:val="left"/>
        </w:tblPrEx>
        <w:trPr>
          <w:gridAfter w:val="1"/>
          <w:wAfter w:w="179" w:type="dxa"/>
        </w:trPr>
        <w:tc>
          <w:tcPr>
            <w:tcW w:w="11161" w:type="dxa"/>
            <w:gridSpan w:val="2"/>
            <w:tcBorders>
              <w:top w:val="nil"/>
              <w:left w:val="nil"/>
              <w:bottom w:val="nil"/>
              <w:right w:val="nil"/>
            </w:tcBorders>
          </w:tcPr>
          <w:p w14:paraId="6C945F9C" w14:textId="2526B7E7" w:rsidR="00F2250B" w:rsidRPr="00F2250B" w:rsidRDefault="00F2250B" w:rsidP="000C7FB0">
            <w:pPr>
              <w:rPr>
                <w:rFonts w:asciiTheme="minorHAnsi" w:hAnsiTheme="minorHAnsi" w:cstheme="minorHAnsi"/>
                <w:szCs w:val="22"/>
              </w:rPr>
            </w:pPr>
            <w:r w:rsidRPr="00F2250B">
              <w:rPr>
                <w:rFonts w:asciiTheme="minorHAnsi" w:hAnsiTheme="minorHAnsi" w:cstheme="minorHAnsi"/>
                <w:b/>
                <w:szCs w:val="22"/>
              </w:rPr>
              <w:t>HPMC. MPH in Health Policy and Management Concentration Competencies</w:t>
            </w:r>
          </w:p>
        </w:tc>
      </w:tr>
      <w:tr w:rsidR="00F2250B" w:rsidRPr="007B0FE2" w14:paraId="25BCACDE" w14:textId="77777777" w:rsidTr="00254AA0">
        <w:tblPrEx>
          <w:jc w:val="left"/>
        </w:tblPrEx>
        <w:trPr>
          <w:gridAfter w:val="1"/>
          <w:wAfter w:w="179" w:type="dxa"/>
        </w:trPr>
        <w:tc>
          <w:tcPr>
            <w:tcW w:w="11161" w:type="dxa"/>
            <w:gridSpan w:val="2"/>
            <w:tcBorders>
              <w:top w:val="nil"/>
              <w:left w:val="nil"/>
              <w:bottom w:val="nil"/>
              <w:right w:val="nil"/>
            </w:tcBorders>
          </w:tcPr>
          <w:p w14:paraId="43516C83" w14:textId="73B5C88A"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HPMC.1. Use policy and management tools to evaluate implications of specific programs, policies, and interventions on organizations and populations.</w:t>
            </w:r>
          </w:p>
        </w:tc>
      </w:tr>
      <w:tr w:rsidR="00F2250B" w:rsidRPr="007B0FE2" w14:paraId="2A347E49" w14:textId="77777777" w:rsidTr="00254AA0">
        <w:tblPrEx>
          <w:jc w:val="left"/>
        </w:tblPrEx>
        <w:trPr>
          <w:gridAfter w:val="1"/>
          <w:wAfter w:w="179" w:type="dxa"/>
        </w:trPr>
        <w:tc>
          <w:tcPr>
            <w:tcW w:w="11161" w:type="dxa"/>
            <w:gridSpan w:val="2"/>
            <w:tcBorders>
              <w:top w:val="nil"/>
              <w:left w:val="nil"/>
              <w:bottom w:val="nil"/>
              <w:right w:val="nil"/>
            </w:tcBorders>
          </w:tcPr>
          <w:p w14:paraId="5053641D" w14:textId="05769EE3"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HPMC.2. Develop and justify budgets that support programs and organizations in the public health and health care sectors.</w:t>
            </w:r>
          </w:p>
        </w:tc>
      </w:tr>
      <w:tr w:rsidR="00F2250B" w:rsidRPr="007B0FE2" w14:paraId="170F9667" w14:textId="77777777" w:rsidTr="00254AA0">
        <w:tblPrEx>
          <w:jc w:val="left"/>
        </w:tblPrEx>
        <w:trPr>
          <w:gridAfter w:val="1"/>
          <w:wAfter w:w="179" w:type="dxa"/>
        </w:trPr>
        <w:tc>
          <w:tcPr>
            <w:tcW w:w="11161" w:type="dxa"/>
            <w:gridSpan w:val="2"/>
            <w:tcBorders>
              <w:top w:val="nil"/>
              <w:left w:val="nil"/>
              <w:bottom w:val="nil"/>
              <w:right w:val="nil"/>
            </w:tcBorders>
          </w:tcPr>
          <w:p w14:paraId="070CF494" w14:textId="4D65436A"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HPMC.3. Communicate evidence-based options to address public health management and policy problems.</w:t>
            </w:r>
          </w:p>
        </w:tc>
      </w:tr>
      <w:tr w:rsidR="00F2250B" w:rsidRPr="007B0FE2" w14:paraId="60981CE0" w14:textId="77777777" w:rsidTr="00254AA0">
        <w:tblPrEx>
          <w:jc w:val="left"/>
        </w:tblPrEx>
        <w:trPr>
          <w:gridAfter w:val="1"/>
          <w:wAfter w:w="179" w:type="dxa"/>
        </w:trPr>
        <w:tc>
          <w:tcPr>
            <w:tcW w:w="11161" w:type="dxa"/>
            <w:gridSpan w:val="2"/>
            <w:tcBorders>
              <w:top w:val="nil"/>
              <w:left w:val="nil"/>
              <w:bottom w:val="nil"/>
              <w:right w:val="nil"/>
            </w:tcBorders>
          </w:tcPr>
          <w:p w14:paraId="1CF79191" w14:textId="09751FC2"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HPMC.4. Apply project management and strategic management tools to create public health program goals, strategies, and objectives.</w:t>
            </w:r>
          </w:p>
        </w:tc>
      </w:tr>
      <w:tr w:rsidR="00EE12E4" w14:paraId="21FD4AD7" w14:textId="77777777" w:rsidTr="00254AA0">
        <w:tblPrEx>
          <w:jc w:val="left"/>
        </w:tblPrEx>
        <w:trPr>
          <w:gridAfter w:val="1"/>
          <w:wAfter w:w="179" w:type="dxa"/>
        </w:trPr>
        <w:tc>
          <w:tcPr>
            <w:tcW w:w="11161" w:type="dxa"/>
            <w:gridSpan w:val="2"/>
            <w:tcBorders>
              <w:top w:val="nil"/>
              <w:left w:val="nil"/>
              <w:bottom w:val="nil"/>
              <w:right w:val="nil"/>
            </w:tcBorders>
          </w:tcPr>
          <w:p w14:paraId="7BB9CD13" w14:textId="1A71422C"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HPMC.5. Recommend and justify policies or organizational initiatives for implementation after examining their feasibility and implications.</w:t>
            </w:r>
          </w:p>
        </w:tc>
      </w:tr>
    </w:tbl>
    <w:p w14:paraId="4B0BE36E" w14:textId="77777777" w:rsidR="007E75B2" w:rsidRDefault="007E75B2">
      <w:r>
        <w:br w:type="page"/>
      </w:r>
    </w:p>
    <w:tbl>
      <w:tblPr>
        <w:tblStyle w:val="TableGrid"/>
        <w:tblW w:w="11070" w:type="dxa"/>
        <w:tblInd w:w="-180" w:type="dxa"/>
        <w:tblLook w:val="04A0" w:firstRow="1" w:lastRow="0" w:firstColumn="1" w:lastColumn="0" w:noHBand="0" w:noVBand="1"/>
      </w:tblPr>
      <w:tblGrid>
        <w:gridCol w:w="11070"/>
      </w:tblGrid>
      <w:tr w:rsidR="00EE12E4" w:rsidRPr="008A7699" w14:paraId="0BD4936C" w14:textId="77777777" w:rsidTr="007E75B2">
        <w:tc>
          <w:tcPr>
            <w:tcW w:w="11070" w:type="dxa"/>
            <w:tcBorders>
              <w:top w:val="nil"/>
              <w:left w:val="nil"/>
              <w:bottom w:val="nil"/>
              <w:right w:val="nil"/>
            </w:tcBorders>
          </w:tcPr>
          <w:p w14:paraId="0D2CD42E" w14:textId="4E9BD374" w:rsidR="00EE12E4" w:rsidRPr="00F2250B" w:rsidRDefault="00EE12E4" w:rsidP="000C7FB0">
            <w:pPr>
              <w:rPr>
                <w:rFonts w:asciiTheme="minorHAnsi" w:hAnsiTheme="minorHAnsi" w:cstheme="minorHAnsi"/>
                <w:b/>
                <w:szCs w:val="22"/>
              </w:rPr>
            </w:pPr>
            <w:r w:rsidRPr="00F2250B">
              <w:rPr>
                <w:rFonts w:asciiTheme="minorHAnsi" w:hAnsiTheme="minorHAnsi" w:cstheme="minorHAnsi"/>
                <w:b/>
                <w:szCs w:val="22"/>
              </w:rPr>
              <w:lastRenderedPageBreak/>
              <w:t>MHA PROGRAM COMPETENCY MODEL</w:t>
            </w:r>
          </w:p>
        </w:tc>
      </w:tr>
      <w:tr w:rsidR="00EE12E4" w:rsidRPr="000B6AFD" w14:paraId="7F8D54A2" w14:textId="77777777" w:rsidTr="007E75B2">
        <w:tc>
          <w:tcPr>
            <w:tcW w:w="11070" w:type="dxa"/>
            <w:tcBorders>
              <w:top w:val="nil"/>
              <w:left w:val="nil"/>
              <w:bottom w:val="nil"/>
              <w:right w:val="nil"/>
            </w:tcBorders>
          </w:tcPr>
          <w:p w14:paraId="75285E3D"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szCs w:val="22"/>
                <w:u w:val="single"/>
              </w:rPr>
              <w:t>DOMAIN: Health Care Environment and Community</w:t>
            </w:r>
            <w:r w:rsidRPr="00F2250B">
              <w:rPr>
                <w:rFonts w:asciiTheme="minorHAnsi" w:hAnsiTheme="minorHAnsi" w:cstheme="minorHAnsi"/>
                <w:szCs w:val="22"/>
              </w:rPr>
              <w:t xml:space="preserve"> (the relationship between health care operations and their communities and local, state, regional, and national </w:t>
            </w:r>
            <w:proofErr w:type="gramStart"/>
            <w:r w:rsidRPr="00F2250B">
              <w:rPr>
                <w:rFonts w:asciiTheme="minorHAnsi" w:hAnsiTheme="minorHAnsi" w:cstheme="minorHAnsi"/>
                <w:szCs w:val="22"/>
              </w:rPr>
              <w:t>organizations</w:t>
            </w:r>
            <w:proofErr w:type="gramEnd"/>
            <w:r w:rsidRPr="00F2250B">
              <w:rPr>
                <w:rFonts w:asciiTheme="minorHAnsi" w:hAnsiTheme="minorHAnsi" w:cstheme="minorHAnsi"/>
                <w:szCs w:val="22"/>
              </w:rPr>
              <w:t xml:space="preserve"> and policies)</w:t>
            </w:r>
          </w:p>
          <w:p w14:paraId="28B4395B" w14:textId="77777777" w:rsidR="00EE12E4" w:rsidRPr="00F2250B" w:rsidRDefault="00EE12E4" w:rsidP="00EE12E4">
            <w:pPr>
              <w:pStyle w:val="ListParagraph"/>
              <w:numPr>
                <w:ilvl w:val="0"/>
                <w:numId w:val="6"/>
              </w:numPr>
              <w:spacing w:before="0"/>
              <w:rPr>
                <w:rFonts w:asciiTheme="minorHAnsi" w:hAnsiTheme="minorHAnsi" w:cstheme="minorHAnsi"/>
                <w:szCs w:val="22"/>
              </w:rPr>
            </w:pPr>
            <w:r w:rsidRPr="00F2250B">
              <w:rPr>
                <w:rFonts w:asciiTheme="minorHAnsi" w:hAnsiTheme="minorHAnsi" w:cstheme="minorHAnsi"/>
                <w:b/>
                <w:szCs w:val="22"/>
                <w:u w:val="single"/>
              </w:rPr>
              <w:t>Public and Population Health Assessment</w:t>
            </w:r>
            <w:r w:rsidRPr="00F2250B">
              <w:rPr>
                <w:rFonts w:asciiTheme="minorHAnsi" w:hAnsiTheme="minorHAnsi" w:cstheme="minorHAnsi"/>
                <w:szCs w:val="22"/>
              </w:rPr>
              <w:t xml:space="preserve"> Historic, current, and anticipated future characteristics and requirements for health care at local, state, regional, and national markets</w:t>
            </w:r>
          </w:p>
          <w:p w14:paraId="250920D1" w14:textId="77777777" w:rsidR="00EE12E4" w:rsidRPr="00F2250B" w:rsidRDefault="00EE12E4" w:rsidP="00EE12E4">
            <w:pPr>
              <w:pStyle w:val="ListParagraph"/>
              <w:numPr>
                <w:ilvl w:val="0"/>
                <w:numId w:val="6"/>
              </w:numPr>
              <w:spacing w:before="0"/>
              <w:rPr>
                <w:rFonts w:asciiTheme="minorHAnsi" w:hAnsiTheme="minorHAnsi" w:cstheme="minorHAnsi"/>
                <w:szCs w:val="22"/>
              </w:rPr>
            </w:pPr>
            <w:r w:rsidRPr="00F2250B">
              <w:rPr>
                <w:rFonts w:asciiTheme="minorHAnsi" w:hAnsiTheme="minorHAnsi" w:cstheme="minorHAnsi"/>
                <w:b/>
                <w:szCs w:val="22"/>
                <w:u w:val="single"/>
              </w:rPr>
              <w:t>Delivery, Organization, and Financing of Health Services and Health Systems</w:t>
            </w:r>
            <w:r w:rsidRPr="00F2250B">
              <w:rPr>
                <w:rFonts w:asciiTheme="minorHAnsi" w:hAnsiTheme="minorHAnsi" w:cstheme="minorHAnsi"/>
                <w:szCs w:val="22"/>
              </w:rPr>
              <w:t xml:space="preserve"> Resources, structure, process, and outcomes associated with providing health care informed by theory, data, and analytic methods</w:t>
            </w:r>
          </w:p>
          <w:p w14:paraId="6A3CB3B6" w14:textId="77777777" w:rsidR="00EE12E4" w:rsidRPr="00F2250B" w:rsidRDefault="00EE12E4" w:rsidP="00EE12E4">
            <w:pPr>
              <w:pStyle w:val="ListParagraph"/>
              <w:numPr>
                <w:ilvl w:val="0"/>
                <w:numId w:val="6"/>
              </w:numPr>
              <w:spacing w:before="0"/>
              <w:rPr>
                <w:rFonts w:asciiTheme="minorHAnsi" w:hAnsiTheme="minorHAnsi" w:cstheme="minorHAnsi"/>
                <w:szCs w:val="22"/>
              </w:rPr>
            </w:pPr>
            <w:r w:rsidRPr="00F2250B">
              <w:rPr>
                <w:rFonts w:asciiTheme="minorHAnsi" w:hAnsiTheme="minorHAnsi" w:cstheme="minorHAnsi"/>
                <w:b/>
                <w:szCs w:val="22"/>
                <w:u w:val="single"/>
              </w:rPr>
              <w:t>Policy Analysis</w:t>
            </w:r>
            <w:r w:rsidRPr="00F2250B">
              <w:rPr>
                <w:rFonts w:asciiTheme="minorHAnsi" w:hAnsiTheme="minorHAnsi" w:cstheme="minorHAnsi"/>
                <w:szCs w:val="22"/>
              </w:rPr>
              <w:t xml:space="preserve"> Creation, analysis, and implications of policy for health care structures and delivery systems</w:t>
            </w:r>
          </w:p>
          <w:p w14:paraId="35C73964" w14:textId="77777777" w:rsidR="00EE12E4" w:rsidRPr="00F2250B" w:rsidRDefault="00EE12E4" w:rsidP="00EE12E4">
            <w:pPr>
              <w:pStyle w:val="ListParagraph"/>
              <w:numPr>
                <w:ilvl w:val="0"/>
                <w:numId w:val="6"/>
              </w:numPr>
              <w:spacing w:before="0"/>
              <w:rPr>
                <w:rFonts w:asciiTheme="minorHAnsi" w:eastAsia="MS Mincho" w:hAnsiTheme="minorHAnsi" w:cstheme="minorHAnsi"/>
                <w:szCs w:val="22"/>
              </w:rPr>
            </w:pPr>
            <w:r w:rsidRPr="00F2250B">
              <w:rPr>
                <w:rFonts w:asciiTheme="minorHAnsi" w:hAnsiTheme="minorHAnsi" w:cstheme="minorHAnsi"/>
                <w:b/>
                <w:szCs w:val="22"/>
                <w:u w:val="single"/>
              </w:rPr>
              <w:t>Legal and Ethical Bases for Health Services and Health Systems</w:t>
            </w:r>
            <w:r w:rsidRPr="00F2250B">
              <w:rPr>
                <w:rFonts w:asciiTheme="minorHAnsi" w:hAnsiTheme="minorHAnsi" w:cstheme="minorHAnsi"/>
                <w:szCs w:val="22"/>
              </w:rPr>
              <w:t xml:space="preserve"> Laws, regulations, and social or other norms that formally or informally provide guidance for health care delivery</w:t>
            </w:r>
          </w:p>
          <w:p w14:paraId="36F176DD" w14:textId="77777777" w:rsidR="00EE12E4" w:rsidRPr="00F2250B" w:rsidRDefault="00EE12E4" w:rsidP="000C7FB0">
            <w:pPr>
              <w:rPr>
                <w:rFonts w:asciiTheme="minorHAnsi" w:hAnsiTheme="minorHAnsi" w:cstheme="minorHAnsi"/>
                <w:b/>
                <w:szCs w:val="22"/>
              </w:rPr>
            </w:pPr>
          </w:p>
          <w:p w14:paraId="6869C557"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szCs w:val="22"/>
                <w:u w:val="single"/>
              </w:rPr>
              <w:t>DOMAIN: Leadership Skills</w:t>
            </w:r>
            <w:r w:rsidRPr="00F2250B">
              <w:rPr>
                <w:rFonts w:asciiTheme="minorHAnsi" w:hAnsiTheme="minorHAnsi" w:cstheme="minorHAnsi"/>
                <w:szCs w:val="22"/>
              </w:rPr>
              <w:t xml:space="preserve"> (the motivation and empowerment of organizational resources to achieve a shared vision)</w:t>
            </w:r>
          </w:p>
          <w:p w14:paraId="3CC47844"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Ethics, Accountability, and Self-Assessment</w:t>
            </w:r>
            <w:r w:rsidRPr="00F2250B">
              <w:rPr>
                <w:rFonts w:asciiTheme="minorHAnsi" w:hAnsiTheme="minorHAnsi" w:cstheme="minorHAnsi"/>
                <w:szCs w:val="22"/>
              </w:rPr>
              <w:t xml:space="preserve"> Professional and personal values and responsibilities that result in ongoing self-reflection, professional awareness, learning, and development</w:t>
            </w:r>
          </w:p>
          <w:p w14:paraId="5846A47D"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Organizational Dynamics</w:t>
            </w:r>
            <w:r w:rsidRPr="00F2250B">
              <w:rPr>
                <w:rFonts w:asciiTheme="minorHAnsi" w:hAnsiTheme="minorHAnsi" w:cstheme="minorHAnsi"/>
                <w:szCs w:val="22"/>
              </w:rPr>
              <w:t xml:space="preserve"> Organizational behavior methods and human resource strategies to maximize individual and team development while ensuring cultural awareness and inclusiveness</w:t>
            </w:r>
          </w:p>
          <w:p w14:paraId="29213CCF"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Problem Solving, Decision Making, and Critical Thinking</w:t>
            </w:r>
            <w:r w:rsidRPr="00F2250B">
              <w:rPr>
                <w:rFonts w:asciiTheme="minorHAnsi" w:hAnsiTheme="minorHAnsi" w:cstheme="minorHAnsi"/>
                <w:szCs w:val="22"/>
              </w:rPr>
              <w:t xml:space="preserve"> Data, analytic methods, and judgment used in support of leadership decisions</w:t>
            </w:r>
          </w:p>
          <w:p w14:paraId="7B268C2A"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Team Building and Collaboration</w:t>
            </w:r>
            <w:r w:rsidRPr="00F2250B">
              <w:rPr>
                <w:rFonts w:asciiTheme="minorHAnsi" w:hAnsiTheme="minorHAnsi" w:cstheme="minorHAnsi"/>
                <w:szCs w:val="22"/>
              </w:rPr>
              <w:t xml:space="preserve"> Partnerships that result in functional, motivated, skill-based groups formed to accomplish identifiable goals</w:t>
            </w:r>
          </w:p>
          <w:p w14:paraId="10DC2597" w14:textId="77777777" w:rsidR="00EE12E4" w:rsidRPr="00F2250B" w:rsidRDefault="00EE12E4" w:rsidP="000C7FB0">
            <w:pPr>
              <w:contextualSpacing/>
              <w:rPr>
                <w:rFonts w:asciiTheme="minorHAnsi" w:eastAsia="MS Mincho" w:hAnsiTheme="minorHAnsi" w:cstheme="minorHAnsi"/>
                <w:szCs w:val="22"/>
              </w:rPr>
            </w:pPr>
          </w:p>
          <w:p w14:paraId="689ACEEB" w14:textId="77777777" w:rsidR="00EE12E4" w:rsidRPr="00F2250B" w:rsidRDefault="00EE12E4" w:rsidP="000C7FB0">
            <w:pPr>
              <w:rPr>
                <w:rFonts w:asciiTheme="minorHAnsi" w:hAnsiTheme="minorHAnsi" w:cstheme="minorHAnsi"/>
                <w:szCs w:val="22"/>
              </w:rPr>
            </w:pPr>
            <w:r w:rsidRPr="00F2250B">
              <w:rPr>
                <w:rFonts w:asciiTheme="minorHAnsi" w:eastAsia="MS Mincho" w:hAnsiTheme="minorHAnsi" w:cstheme="minorHAnsi"/>
                <w:b/>
                <w:szCs w:val="22"/>
                <w:u w:val="single"/>
              </w:rPr>
              <w:t xml:space="preserve">DOMAIN: </w:t>
            </w:r>
            <w:r w:rsidRPr="00F2250B">
              <w:rPr>
                <w:rFonts w:asciiTheme="minorHAnsi" w:hAnsiTheme="minorHAnsi" w:cstheme="minorHAnsi"/>
                <w:b/>
                <w:szCs w:val="22"/>
                <w:u w:val="single"/>
              </w:rPr>
              <w:t>Management Skills</w:t>
            </w:r>
            <w:r w:rsidRPr="00F2250B">
              <w:rPr>
                <w:rFonts w:asciiTheme="minorHAnsi" w:hAnsiTheme="minorHAnsi" w:cstheme="minorHAnsi"/>
                <w:szCs w:val="22"/>
              </w:rPr>
              <w:t xml:space="preserve"> (the control and organization of health services delivery)</w:t>
            </w:r>
          </w:p>
          <w:p w14:paraId="16010F00"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Strategic Planning</w:t>
            </w:r>
            <w:r w:rsidRPr="00F2250B">
              <w:rPr>
                <w:rFonts w:asciiTheme="minorHAnsi" w:hAnsiTheme="minorHAnsi" w:cstheme="minorHAnsi"/>
                <w:szCs w:val="22"/>
              </w:rPr>
              <w:t xml:space="preserve"> Market and community needs served by defined alternatives, goals, and programs supported by appropriate implementation methods</w:t>
            </w:r>
          </w:p>
          <w:p w14:paraId="41A92F9E"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Business Planning</w:t>
            </w:r>
            <w:r w:rsidRPr="00F2250B">
              <w:rPr>
                <w:rFonts w:asciiTheme="minorHAnsi" w:hAnsiTheme="minorHAnsi" w:cstheme="minorHAnsi"/>
                <w:szCs w:val="22"/>
              </w:rPr>
              <w:t xml:space="preserve"> Develop and manage budgets, conduct financial analysis; identify opportunities and threats to organizations using relevant information</w:t>
            </w:r>
          </w:p>
          <w:p w14:paraId="12949838"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Communication</w:t>
            </w:r>
            <w:r w:rsidRPr="00F2250B">
              <w:rPr>
                <w:rFonts w:asciiTheme="minorHAnsi" w:hAnsiTheme="minorHAnsi" w:cstheme="minorHAnsi"/>
                <w:szCs w:val="22"/>
              </w:rPr>
              <w:t xml:space="preserve"> Verbal and non-verbal communication to convey pertinent information</w:t>
            </w:r>
          </w:p>
          <w:p w14:paraId="69A04B52"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Financial Management</w:t>
            </w:r>
            <w:r w:rsidRPr="00F2250B">
              <w:rPr>
                <w:rFonts w:asciiTheme="minorHAnsi" w:hAnsiTheme="minorHAnsi" w:cstheme="minorHAnsi"/>
                <w:szCs w:val="22"/>
              </w:rPr>
              <w:t xml:space="preserve"> Read, understand, and analyze financial statements and audited financial reports</w:t>
            </w:r>
          </w:p>
          <w:p w14:paraId="457684B8"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Performance Improvement</w:t>
            </w:r>
            <w:r w:rsidRPr="00F2250B">
              <w:rPr>
                <w:rFonts w:asciiTheme="minorHAnsi" w:hAnsiTheme="minorHAnsi" w:cstheme="minorHAnsi"/>
                <w:szCs w:val="22"/>
              </w:rPr>
              <w:t xml:space="preserve"> Data, information, analytic tools, and judgment used to guide goal setting for individuals, teams, and organizations</w:t>
            </w:r>
          </w:p>
          <w:p w14:paraId="6ECE7150"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Project Management</w:t>
            </w:r>
            <w:r w:rsidRPr="00F2250B">
              <w:rPr>
                <w:rFonts w:asciiTheme="minorHAnsi" w:hAnsiTheme="minorHAnsi" w:cstheme="minorHAnsi"/>
                <w:szCs w:val="22"/>
              </w:rPr>
              <w:t xml:space="preserve"> Design, plan, execute, and assess tasks and develop appropriate timelines related to performance, structure, and outcomes in the pursuit of stated goals</w:t>
            </w:r>
          </w:p>
          <w:p w14:paraId="00DE0E8A" w14:textId="77777777" w:rsidR="00EE12E4" w:rsidRPr="00F2250B" w:rsidRDefault="00EE12E4" w:rsidP="000C7FB0">
            <w:pPr>
              <w:contextualSpacing/>
              <w:rPr>
                <w:rFonts w:asciiTheme="minorHAnsi" w:hAnsiTheme="minorHAnsi" w:cstheme="minorHAnsi"/>
                <w:szCs w:val="22"/>
              </w:rPr>
            </w:pPr>
          </w:p>
          <w:p w14:paraId="61E07D00"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szCs w:val="22"/>
                <w:u w:val="single"/>
              </w:rPr>
              <w:t>DOMAIN: Analytic and Technical Skills</w:t>
            </w:r>
            <w:r w:rsidRPr="00F2250B">
              <w:rPr>
                <w:rFonts w:asciiTheme="minorHAnsi" w:hAnsiTheme="minorHAnsi" w:cstheme="minorHAnsi"/>
                <w:szCs w:val="22"/>
              </w:rPr>
              <w:t xml:space="preserve"> (the successful accomplishment of tasks in health services delivery)</w:t>
            </w:r>
          </w:p>
          <w:p w14:paraId="7C286408" w14:textId="77777777" w:rsidR="00EE12E4" w:rsidRPr="00F2250B" w:rsidRDefault="00EE12E4" w:rsidP="00EE12E4">
            <w:pPr>
              <w:pStyle w:val="ListParagraph"/>
              <w:numPr>
                <w:ilvl w:val="0"/>
                <w:numId w:val="9"/>
              </w:numPr>
              <w:spacing w:before="0"/>
              <w:rPr>
                <w:rFonts w:asciiTheme="minorHAnsi" w:eastAsia="MS Mincho" w:hAnsiTheme="minorHAnsi" w:cstheme="minorHAnsi"/>
                <w:szCs w:val="22"/>
              </w:rPr>
            </w:pPr>
            <w:r w:rsidRPr="00F2250B">
              <w:rPr>
                <w:rFonts w:asciiTheme="minorHAnsi" w:hAnsiTheme="minorHAnsi" w:cstheme="minorHAnsi"/>
                <w:b/>
                <w:szCs w:val="22"/>
                <w:u w:val="single"/>
              </w:rPr>
              <w:t>Systems Thinking</w:t>
            </w:r>
            <w:r w:rsidRPr="00F2250B">
              <w:rPr>
                <w:rFonts w:asciiTheme="minorHAnsi" w:hAnsiTheme="minorHAnsi" w:cstheme="minorHAnsi"/>
                <w:szCs w:val="22"/>
              </w:rPr>
              <w:t xml:space="preserve"> Interrelationships between and among constituent parts of an organization</w:t>
            </w:r>
          </w:p>
          <w:p w14:paraId="349275F3" w14:textId="77777777" w:rsidR="00EE12E4" w:rsidRPr="00F2250B" w:rsidRDefault="00EE12E4" w:rsidP="00EE12E4">
            <w:pPr>
              <w:pStyle w:val="ListParagraph"/>
              <w:numPr>
                <w:ilvl w:val="0"/>
                <w:numId w:val="9"/>
              </w:numPr>
              <w:spacing w:before="0"/>
              <w:rPr>
                <w:rFonts w:asciiTheme="minorHAnsi" w:hAnsiTheme="minorHAnsi" w:cstheme="minorHAnsi"/>
                <w:szCs w:val="22"/>
              </w:rPr>
            </w:pPr>
            <w:r w:rsidRPr="00F2250B">
              <w:rPr>
                <w:rFonts w:asciiTheme="minorHAnsi" w:hAnsiTheme="minorHAnsi" w:cstheme="minorHAnsi"/>
                <w:b/>
                <w:szCs w:val="22"/>
                <w:u w:val="single"/>
              </w:rPr>
              <w:t>Data Analysis and Information Management</w:t>
            </w:r>
            <w:r w:rsidRPr="00F2250B">
              <w:rPr>
                <w:rFonts w:asciiTheme="minorHAnsi" w:hAnsiTheme="minorHAnsi" w:cstheme="minorHAnsi"/>
                <w:szCs w:val="22"/>
              </w:rPr>
              <w:t xml:space="preserve"> Data, information, technology, and supporting structures used in completing assigned tasks</w:t>
            </w:r>
          </w:p>
          <w:p w14:paraId="71C3CC9B" w14:textId="77777777" w:rsidR="00EE12E4" w:rsidRPr="00F2250B" w:rsidRDefault="00EE12E4" w:rsidP="00EE12E4">
            <w:pPr>
              <w:pStyle w:val="ListParagraph"/>
              <w:numPr>
                <w:ilvl w:val="0"/>
                <w:numId w:val="9"/>
              </w:numPr>
              <w:spacing w:before="0"/>
              <w:rPr>
                <w:rFonts w:asciiTheme="minorHAnsi" w:eastAsia="MS Mincho" w:hAnsiTheme="minorHAnsi" w:cstheme="minorHAnsi"/>
                <w:szCs w:val="22"/>
              </w:rPr>
            </w:pPr>
            <w:r w:rsidRPr="00F2250B">
              <w:rPr>
                <w:rFonts w:asciiTheme="minorHAnsi" w:hAnsiTheme="minorHAnsi" w:cstheme="minorHAnsi"/>
                <w:b/>
                <w:szCs w:val="22"/>
                <w:u w:val="single"/>
              </w:rPr>
              <w:t>Quantitative Methods for Health Services Delivery</w:t>
            </w:r>
            <w:r w:rsidRPr="00F2250B">
              <w:rPr>
                <w:rFonts w:asciiTheme="minorHAnsi" w:hAnsiTheme="minorHAnsi" w:cstheme="minorHAnsi"/>
                <w:szCs w:val="22"/>
              </w:rPr>
              <w:t xml:space="preserve"> Economic, financial, statistical, and other discipline-specific techniques needed to understand, model, assess, and inform health care decision making and address health care questions</w:t>
            </w:r>
          </w:p>
        </w:tc>
      </w:tr>
    </w:tbl>
    <w:p w14:paraId="7683F263" w14:textId="77777777" w:rsidR="007E75B2" w:rsidRDefault="007E75B2">
      <w:r>
        <w:br w:type="page"/>
      </w:r>
    </w:p>
    <w:tbl>
      <w:tblPr>
        <w:tblStyle w:val="TableGrid"/>
        <w:tblW w:w="5250" w:type="pct"/>
        <w:tblInd w:w="-270" w:type="dxa"/>
        <w:tblLook w:val="04A0" w:firstRow="1" w:lastRow="0" w:firstColumn="1" w:lastColumn="0" w:noHBand="0" w:noVBand="1"/>
      </w:tblPr>
      <w:tblGrid>
        <w:gridCol w:w="11340"/>
      </w:tblGrid>
      <w:tr w:rsidR="00EE12E4" w:rsidRPr="000B6AFD" w14:paraId="49938697" w14:textId="77777777" w:rsidTr="007E75B2">
        <w:tc>
          <w:tcPr>
            <w:tcW w:w="5000" w:type="pct"/>
            <w:tcBorders>
              <w:top w:val="nil"/>
              <w:left w:val="nil"/>
              <w:bottom w:val="nil"/>
              <w:right w:val="nil"/>
            </w:tcBorders>
          </w:tcPr>
          <w:p w14:paraId="3B9B22D1" w14:textId="217A93C7" w:rsidR="00EE12E4" w:rsidRPr="006D6D98" w:rsidRDefault="00EE12E4" w:rsidP="000C7FB0">
            <w:pPr>
              <w:rPr>
                <w:rFonts w:asciiTheme="minorHAnsi" w:hAnsiTheme="minorHAnsi" w:cstheme="minorHAnsi"/>
                <w:b/>
                <w:szCs w:val="22"/>
                <w:u w:val="single"/>
              </w:rPr>
            </w:pPr>
            <w:r w:rsidRPr="006D6D98">
              <w:rPr>
                <w:rFonts w:asciiTheme="minorHAnsi" w:hAnsiTheme="minorHAnsi" w:cstheme="minorHAnsi"/>
                <w:b/>
                <w:szCs w:val="22"/>
              </w:rPr>
              <w:lastRenderedPageBreak/>
              <w:t>PhD-HEALTH SERVICES RESEARCH COMPETENCIES</w:t>
            </w:r>
          </w:p>
        </w:tc>
      </w:tr>
      <w:tr w:rsidR="00EE12E4" w:rsidRPr="000B6AFD" w14:paraId="49B3075F" w14:textId="77777777" w:rsidTr="007E75B2">
        <w:tc>
          <w:tcPr>
            <w:tcW w:w="5000" w:type="pct"/>
            <w:tcBorders>
              <w:top w:val="nil"/>
              <w:left w:val="nil"/>
              <w:bottom w:val="nil"/>
              <w:right w:val="nil"/>
            </w:tcBorders>
          </w:tcPr>
          <w:p w14:paraId="3B9F2074"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C1: Identify, assemble, evaluate, and critique a large body of existent research addressing a specific research agenda.</w:t>
            </w:r>
          </w:p>
          <w:p w14:paraId="62ACD48F"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C2: Develop a theoretically grounded research design that allows for rigorous evaluation of health services research questions that stand up to peer review, including the use of appropriate methods for the research question at hand.</w:t>
            </w:r>
          </w:p>
          <w:p w14:paraId="1B636AA9" w14:textId="77777777" w:rsidR="00EE12E4" w:rsidRPr="006D6D98" w:rsidRDefault="00EE12E4" w:rsidP="000C7FB0">
            <w:pPr>
              <w:rPr>
                <w:rFonts w:asciiTheme="minorHAnsi" w:hAnsiTheme="minorHAnsi" w:cstheme="minorHAnsi"/>
                <w:szCs w:val="22"/>
              </w:rPr>
            </w:pPr>
            <w:r w:rsidRPr="006D6D98">
              <w:rPr>
                <w:rFonts w:asciiTheme="minorHAnsi" w:hAnsiTheme="minorHAnsi" w:cstheme="minorHAnsi"/>
                <w:szCs w:val="22"/>
              </w:rPr>
              <w:t>C3: Identify, collect, and prepare appropriate data through primary or secondary sources with adequate documentation for replication.</w:t>
            </w:r>
          </w:p>
          <w:p w14:paraId="4FFFA0C6"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C4: Execute quantitative and qualitative analytical techniques to explore and clarify associations between variables and to delineate causal inferences.</w:t>
            </w:r>
          </w:p>
          <w:p w14:paraId="1CC79B6E"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C5: Effectively communicate the findings and implications of health services research through multiple modalities to technical and lay audiences.</w:t>
            </w:r>
          </w:p>
          <w:p w14:paraId="30A29A16"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 xml:space="preserve">C6: Develop policy solutions to public health problems that are based on the best evidence available and that will hold up to scrutiny from others. </w:t>
            </w:r>
          </w:p>
          <w:p w14:paraId="68FE10A3" w14:textId="77777777" w:rsidR="00EE12E4" w:rsidRPr="006D6D98" w:rsidRDefault="00EE12E4" w:rsidP="000C7FB0">
            <w:pPr>
              <w:rPr>
                <w:rFonts w:asciiTheme="minorHAnsi" w:hAnsiTheme="minorHAnsi" w:cstheme="minorHAnsi"/>
                <w:szCs w:val="22"/>
              </w:rPr>
            </w:pPr>
            <w:r w:rsidRPr="006D6D98">
              <w:rPr>
                <w:rFonts w:asciiTheme="minorHAnsi" w:hAnsiTheme="minorHAnsi" w:cstheme="minorHAnsi"/>
                <w:szCs w:val="22"/>
              </w:rPr>
              <w:t>C7: Demonstrate knowledge of economic principles and their application for research questions in health services research.</w:t>
            </w:r>
          </w:p>
          <w:p w14:paraId="75D12477" w14:textId="77777777" w:rsidR="00EE12E4" w:rsidRPr="006D6D98" w:rsidRDefault="00EE12E4" w:rsidP="000C7FB0">
            <w:pPr>
              <w:rPr>
                <w:rFonts w:asciiTheme="minorHAnsi" w:hAnsiTheme="minorHAnsi" w:cstheme="minorHAnsi"/>
                <w:szCs w:val="22"/>
              </w:rPr>
            </w:pPr>
            <w:r w:rsidRPr="006D6D98">
              <w:rPr>
                <w:rFonts w:asciiTheme="minorHAnsi" w:hAnsiTheme="minorHAnsi" w:cstheme="minorHAnsi"/>
                <w:szCs w:val="22"/>
              </w:rPr>
              <w:t>C8: Exhibit knowledge of the institutions, organizational structures, and management strategies used to enhance effectiveness in health delivery systems.</w:t>
            </w:r>
          </w:p>
          <w:p w14:paraId="7370CE9B" w14:textId="77777777" w:rsidR="00EE12E4" w:rsidRPr="006D6D98" w:rsidRDefault="00EE12E4" w:rsidP="000C7FB0">
            <w:pPr>
              <w:rPr>
                <w:rFonts w:asciiTheme="minorHAnsi" w:hAnsiTheme="minorHAnsi" w:cstheme="minorHAnsi"/>
                <w:b/>
                <w:szCs w:val="22"/>
                <w:u w:val="single"/>
              </w:rPr>
            </w:pPr>
          </w:p>
        </w:tc>
      </w:tr>
    </w:tbl>
    <w:p w14:paraId="408A924E" w14:textId="77777777" w:rsidR="008A7699" w:rsidRDefault="008A7699" w:rsidP="00506591"/>
    <w:sectPr w:rsidR="008A7699" w:rsidSect="007E75B2">
      <w:headerReference w:type="even" r:id="rId46"/>
      <w:headerReference w:type="default" r:id="rId47"/>
      <w:footerReference w:type="even" r:id="rId48"/>
      <w:footerReference w:type="default" r:id="rId49"/>
      <w:headerReference w:type="first" r:id="rId50"/>
      <w:footerReference w:type="firs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CF07" w14:textId="77777777" w:rsidR="00F368C4" w:rsidRDefault="00F368C4" w:rsidP="008A7699">
      <w:pPr>
        <w:spacing w:after="0" w:line="240" w:lineRule="auto"/>
      </w:pPr>
      <w:r>
        <w:separator/>
      </w:r>
    </w:p>
  </w:endnote>
  <w:endnote w:type="continuationSeparator" w:id="0">
    <w:p w14:paraId="51DDFCD0" w14:textId="77777777" w:rsidR="00F368C4" w:rsidRDefault="00F368C4" w:rsidP="008A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1707" w14:textId="77777777" w:rsidR="00AF7CF1" w:rsidRDefault="00AF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09134"/>
      <w:docPartObj>
        <w:docPartGallery w:val="Page Numbers (Bottom of Page)"/>
        <w:docPartUnique/>
      </w:docPartObj>
    </w:sdtPr>
    <w:sdtEndPr>
      <w:rPr>
        <w:noProof/>
      </w:rPr>
    </w:sdtEndPr>
    <w:sdtContent>
      <w:p w14:paraId="6DA8BFF6" w14:textId="71DD8614" w:rsidR="00AF7CF1" w:rsidRDefault="00AF7CF1" w:rsidP="008A7699">
        <w:pPr>
          <w:pStyle w:val="Footer"/>
        </w:pPr>
        <w:r>
          <w:tab/>
        </w:r>
        <w:r>
          <w:tab/>
        </w:r>
        <w:r>
          <w:fldChar w:fldCharType="begin"/>
        </w:r>
        <w:r>
          <w:instrText xml:space="preserve"> PAGE   \* MERGEFORMAT </w:instrText>
        </w:r>
        <w:r>
          <w:fldChar w:fldCharType="separate"/>
        </w:r>
        <w:r w:rsidR="00331B1B">
          <w:rPr>
            <w:noProof/>
          </w:rPr>
          <w:t>2</w:t>
        </w:r>
        <w:r>
          <w:rPr>
            <w:noProof/>
          </w:rPr>
          <w:fldChar w:fldCharType="end"/>
        </w:r>
      </w:p>
    </w:sdtContent>
  </w:sdt>
  <w:p w14:paraId="7DD93DCB" w14:textId="69CD8F05" w:rsidR="00AF7CF1" w:rsidRDefault="00AF7CF1">
    <w:pPr>
      <w:pStyle w:val="Footer"/>
    </w:pPr>
    <w:r>
      <w:rPr>
        <w:noProof/>
        <w:sz w:val="14"/>
      </w:rPr>
      <mc:AlternateContent>
        <mc:Choice Requires="wps">
          <w:drawing>
            <wp:anchor distT="0" distB="0" distL="114300" distR="114300" simplePos="0" relativeHeight="251659264" behindDoc="0" locked="0" layoutInCell="1" allowOverlap="1" wp14:anchorId="6965E388" wp14:editId="04708AC9">
              <wp:simplePos x="0" y="0"/>
              <wp:positionH relativeFrom="column">
                <wp:posOffset>2276475</wp:posOffset>
              </wp:positionH>
              <wp:positionV relativeFrom="paragraph">
                <wp:posOffset>157480</wp:posOffset>
              </wp:positionV>
              <wp:extent cx="1995488" cy="3048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995488" cy="304800"/>
                      </a:xfrm>
                      <a:prstGeom prst="rect">
                        <a:avLst/>
                      </a:prstGeom>
                      <a:solidFill>
                        <a:schemeClr val="lt1"/>
                      </a:solidFill>
                      <a:ln w="6350">
                        <a:noFill/>
                      </a:ln>
                    </wps:spPr>
                    <wps:txbx>
                      <w:txbxContent>
                        <w:p w14:paraId="3F926002" w14:textId="016BB347" w:rsidR="00AF7CF1" w:rsidRDefault="00AF7CF1" w:rsidP="00254AA0">
                          <w:pPr>
                            <w:pStyle w:val="Footer"/>
                            <w:ind w:right="360"/>
                            <w:rPr>
                              <w:sz w:val="14"/>
                            </w:rPr>
                          </w:pPr>
                          <w:r w:rsidRPr="001F6B45">
                            <w:rPr>
                              <w:sz w:val="14"/>
                            </w:rPr>
                            <w:t xml:space="preserve">Syllabus Template Version </w:t>
                          </w:r>
                          <w:r>
                            <w:rPr>
                              <w:sz w:val="14"/>
                            </w:rPr>
                            <w:t>6.2021</w:t>
                          </w:r>
                        </w:p>
                        <w:p w14:paraId="1BC94BD7" w14:textId="77777777" w:rsidR="00AF7CF1" w:rsidRDefault="00AF7CF1" w:rsidP="00254AA0">
                          <w:pPr>
                            <w:pStyle w:val="Footer"/>
                            <w:ind w:righ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5E388" id="_x0000_t202" coordsize="21600,21600" o:spt="202" path="m,l,21600r21600,l21600,xe">
              <v:stroke joinstyle="miter"/>
              <v:path gradientshapeok="t" o:connecttype="rect"/>
            </v:shapetype>
            <v:shape id="Text Box 2" o:spid="_x0000_s1026" type="#_x0000_t202" style="position:absolute;margin-left:179.25pt;margin-top:12.4pt;width:157.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BLQIAAFQEAAAOAAAAZHJzL2Uyb0RvYy54bWysVEuP2jAQvlfqf7B8LwksbCEirCgrqkpo&#10;dyW22rNxbBLJ8bi2IaG/vmMnPLrtqerFmfGM5/F9M5k/tLUiR2FdBTqnw0FKidAcikrvc/r9df1p&#10;SonzTBdMgRY5PQlHHxYfP8wbk4kRlKAKYQkG0S5rTE5L702WJI6XomZuAEZoNEqwNfOo2n1SWNZg&#10;9FolozS9TxqwhbHAhXN4+9gZ6SLGl1Jw/yylE56onGJtPp42nrtwJos5y/aWmbLifRnsH6qoWaUx&#10;6SXUI/OMHGz1R6i64hYcSD/gUCcgZcVF7AG7GabvutmWzIjYC4LjzAUm9//C8qfj1rxY4tsv0CKB&#10;AZDGuMzhZeinlbYOX6yUoB0hPF1gE60nPDyazSbjKRLN0XaXjqdpxDW5vjbW+a8CahKEnFqkJaLF&#10;jhvnMSO6nl1CMgeqKtaVUlEJoyBWypIjQxKVjzXii9+8lCZNTu/vJmkMrCE87yIrjQmuPQXJt7u2&#10;b3QHxQn7t9CNhjN8XWGRG+b8C7M4C9gyzrd/xkMqwCTQS5SUYH/+7T74I0VopaTB2cqp+3FgVlCi&#10;vmkkbzYcj8MwRmU8+TxCxd5adrcWfahXgJ0PcZMMj2Lw9+osSgv1G67BMmRFE9Mcc+fUn8WV7yYe&#10;14iL5TI64fgZ5jd6a3gIHZAOFLy2b8yaniePDD/BeQpZ9o6uzje81LA8eJBV5DIA3KHa446jGynu&#10;1yzsxq0eva4/g8UvAAAA//8DAFBLAwQUAAYACAAAACEA9HpYceAAAAAJAQAADwAAAGRycy9kb3du&#10;cmV2LnhtbEyPT0+DQBDF7yZ+h82YeDF2EaRtkKExxj+JN4ut8bZlRyCyu4TdAn57pyc9zUzey5vf&#10;yzez6cRIg2+dRbhZRCDIVk63tkZ4L5+u1yB8UFarzllC+CEPm+L8LFeZdpN9o3EbasEh1mcKoQmh&#10;z6T0VUNG+YXrybL25QajAp9DLfWgJg43nYyjaCmNai1/aFRPDw1V39ujQfi8qj9e/fy8m5I06R9f&#10;xnK11yXi5cV8fwci0Bz+zHDCZ3QomOngjlZ70SEk6TplK0J8yxXYsFzFvBwQTlMWufzfoPgFAAD/&#10;/wMAUEsBAi0AFAAGAAgAAAAhALaDOJL+AAAA4QEAABMAAAAAAAAAAAAAAAAAAAAAAFtDb250ZW50&#10;X1R5cGVzXS54bWxQSwECLQAUAAYACAAAACEAOP0h/9YAAACUAQAACwAAAAAAAAAAAAAAAAAvAQAA&#10;X3JlbHMvLnJlbHNQSwECLQAUAAYACAAAACEAv2u8gS0CAABUBAAADgAAAAAAAAAAAAAAAAAuAgAA&#10;ZHJzL2Uyb0RvYy54bWxQSwECLQAUAAYACAAAACEA9HpYceAAAAAJAQAADwAAAAAAAAAAAAAAAACH&#10;BAAAZHJzL2Rvd25yZXYueG1sUEsFBgAAAAAEAAQA8wAAAJQFAAAAAA==&#10;" fillcolor="white [3201]" stroked="f" strokeweight=".5pt">
              <v:textbox>
                <w:txbxContent>
                  <w:p w14:paraId="3F926002" w14:textId="016BB347" w:rsidR="00AF7CF1" w:rsidRDefault="00AF7CF1" w:rsidP="00254AA0">
                    <w:pPr>
                      <w:pStyle w:val="Footer"/>
                      <w:ind w:right="360"/>
                      <w:rPr>
                        <w:sz w:val="14"/>
                      </w:rPr>
                    </w:pPr>
                    <w:r w:rsidRPr="001F6B45">
                      <w:rPr>
                        <w:sz w:val="14"/>
                      </w:rPr>
                      <w:t xml:space="preserve">Syllabus Template Version </w:t>
                    </w:r>
                    <w:r>
                      <w:rPr>
                        <w:sz w:val="14"/>
                      </w:rPr>
                      <w:t>6.2021</w:t>
                    </w:r>
                  </w:p>
                  <w:p w14:paraId="1BC94BD7" w14:textId="77777777" w:rsidR="00AF7CF1" w:rsidRDefault="00AF7CF1" w:rsidP="00254AA0">
                    <w:pPr>
                      <w:pStyle w:val="Footer"/>
                      <w:ind w:right="360"/>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5C1B" w14:textId="77777777" w:rsidR="00AF7CF1" w:rsidRDefault="00AF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E8A8" w14:textId="77777777" w:rsidR="00F368C4" w:rsidRDefault="00F368C4" w:rsidP="008A7699">
      <w:pPr>
        <w:spacing w:after="0" w:line="240" w:lineRule="auto"/>
      </w:pPr>
      <w:r>
        <w:separator/>
      </w:r>
    </w:p>
  </w:footnote>
  <w:footnote w:type="continuationSeparator" w:id="0">
    <w:p w14:paraId="1BA63364" w14:textId="77777777" w:rsidR="00F368C4" w:rsidRDefault="00F368C4" w:rsidP="008A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204D" w14:textId="77777777" w:rsidR="00AF7CF1" w:rsidRDefault="00AF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B904" w14:textId="77777777" w:rsidR="00AF7CF1" w:rsidRDefault="00AF7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14F" w14:textId="77777777" w:rsidR="00AF7CF1" w:rsidRDefault="00AF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25"/>
    <w:multiLevelType w:val="hybridMultilevel"/>
    <w:tmpl w:val="318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C62"/>
    <w:multiLevelType w:val="hybridMultilevel"/>
    <w:tmpl w:val="6C4894B4"/>
    <w:lvl w:ilvl="0" w:tplc="751E633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23914"/>
    <w:multiLevelType w:val="hybridMultilevel"/>
    <w:tmpl w:val="B25861C2"/>
    <w:lvl w:ilvl="0" w:tplc="E53E164A">
      <w:start w:val="1"/>
      <w:numFmt w:val="bullet"/>
      <w:lvlText w:val=""/>
      <w:lvlJc w:val="left"/>
      <w:pPr>
        <w:ind w:left="778"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511C"/>
    <w:multiLevelType w:val="hybridMultilevel"/>
    <w:tmpl w:val="67B2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13C5C"/>
    <w:multiLevelType w:val="hybridMultilevel"/>
    <w:tmpl w:val="92B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55451"/>
    <w:multiLevelType w:val="multilevel"/>
    <w:tmpl w:val="F07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17DBB"/>
    <w:multiLevelType w:val="hybridMultilevel"/>
    <w:tmpl w:val="37C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D668E"/>
    <w:multiLevelType w:val="multilevel"/>
    <w:tmpl w:val="24AEB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76F2414"/>
    <w:multiLevelType w:val="hybridMultilevel"/>
    <w:tmpl w:val="765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95E85"/>
    <w:multiLevelType w:val="hybridMultilevel"/>
    <w:tmpl w:val="578E6E02"/>
    <w:lvl w:ilvl="0" w:tplc="E53E164A">
      <w:start w:val="1"/>
      <w:numFmt w:val="bullet"/>
      <w:lvlText w:val=""/>
      <w:lvlJc w:val="left"/>
      <w:pPr>
        <w:ind w:left="778" w:hanging="360"/>
      </w:pPr>
      <w:rPr>
        <w:rFonts w:ascii="Symbol" w:hAnsi="Symbol" w:hint="default"/>
        <w:sz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3E53B5A"/>
    <w:multiLevelType w:val="hybridMultilevel"/>
    <w:tmpl w:val="4C0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57154"/>
    <w:multiLevelType w:val="hybridMultilevel"/>
    <w:tmpl w:val="F0B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76602"/>
    <w:multiLevelType w:val="hybridMultilevel"/>
    <w:tmpl w:val="B8B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07882"/>
    <w:multiLevelType w:val="hybridMultilevel"/>
    <w:tmpl w:val="E1C0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A52FF"/>
    <w:multiLevelType w:val="hybridMultilevel"/>
    <w:tmpl w:val="6D46A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3"/>
  </w:num>
  <w:num w:numId="5">
    <w:abstractNumId w:val="4"/>
  </w:num>
  <w:num w:numId="6">
    <w:abstractNumId w:val="8"/>
  </w:num>
  <w:num w:numId="7">
    <w:abstractNumId w:val="6"/>
  </w:num>
  <w:num w:numId="8">
    <w:abstractNumId w:val="14"/>
  </w:num>
  <w:num w:numId="9">
    <w:abstractNumId w:val="12"/>
  </w:num>
  <w:num w:numId="10">
    <w:abstractNumId w:val="15"/>
  </w:num>
  <w:num w:numId="11">
    <w:abstractNumId w:val="7"/>
  </w:num>
  <w:num w:numId="12">
    <w:abstractNumId w:val="17"/>
  </w:num>
  <w:num w:numId="13">
    <w:abstractNumId w:val="16"/>
  </w:num>
  <w:num w:numId="14">
    <w:abstractNumId w:val="1"/>
  </w:num>
  <w:num w:numId="15">
    <w:abstractNumId w:val="13"/>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wNDAG0mYWRkamhko6SsGpxcWZ+XkgBUa1AGC6eu4sAAAA"/>
  </w:docVars>
  <w:rsids>
    <w:rsidRoot w:val="002C3153"/>
    <w:rsid w:val="0000561E"/>
    <w:rsid w:val="00007013"/>
    <w:rsid w:val="000158E1"/>
    <w:rsid w:val="000234D1"/>
    <w:rsid w:val="00042ED5"/>
    <w:rsid w:val="00044FCB"/>
    <w:rsid w:val="000506DA"/>
    <w:rsid w:val="00057F71"/>
    <w:rsid w:val="00063757"/>
    <w:rsid w:val="000671D2"/>
    <w:rsid w:val="00073481"/>
    <w:rsid w:val="00073AD1"/>
    <w:rsid w:val="000826AC"/>
    <w:rsid w:val="0009040D"/>
    <w:rsid w:val="00091975"/>
    <w:rsid w:val="00097253"/>
    <w:rsid w:val="000975BD"/>
    <w:rsid w:val="000A032E"/>
    <w:rsid w:val="000B55DA"/>
    <w:rsid w:val="000C3045"/>
    <w:rsid w:val="000C7FB0"/>
    <w:rsid w:val="000D0E6D"/>
    <w:rsid w:val="000D179D"/>
    <w:rsid w:val="000E7580"/>
    <w:rsid w:val="000F2981"/>
    <w:rsid w:val="000F51C3"/>
    <w:rsid w:val="00101A66"/>
    <w:rsid w:val="001200F5"/>
    <w:rsid w:val="001249B0"/>
    <w:rsid w:val="001262C4"/>
    <w:rsid w:val="00131775"/>
    <w:rsid w:val="00132171"/>
    <w:rsid w:val="00135980"/>
    <w:rsid w:val="0013656C"/>
    <w:rsid w:val="00146383"/>
    <w:rsid w:val="00151610"/>
    <w:rsid w:val="00157153"/>
    <w:rsid w:val="001846D2"/>
    <w:rsid w:val="0019285E"/>
    <w:rsid w:val="001974B9"/>
    <w:rsid w:val="001A20B1"/>
    <w:rsid w:val="001A286A"/>
    <w:rsid w:val="001A40B7"/>
    <w:rsid w:val="001B2D8D"/>
    <w:rsid w:val="001C77DF"/>
    <w:rsid w:val="001D0CC3"/>
    <w:rsid w:val="001E113F"/>
    <w:rsid w:val="001F3DFF"/>
    <w:rsid w:val="001F550B"/>
    <w:rsid w:val="002021E2"/>
    <w:rsid w:val="00202421"/>
    <w:rsid w:val="00202ECB"/>
    <w:rsid w:val="00207DA1"/>
    <w:rsid w:val="00212965"/>
    <w:rsid w:val="00217D12"/>
    <w:rsid w:val="002244C1"/>
    <w:rsid w:val="00232224"/>
    <w:rsid w:val="00237F43"/>
    <w:rsid w:val="00241CBB"/>
    <w:rsid w:val="00251421"/>
    <w:rsid w:val="00252C5B"/>
    <w:rsid w:val="00252E8A"/>
    <w:rsid w:val="0025486B"/>
    <w:rsid w:val="00254AA0"/>
    <w:rsid w:val="0026204A"/>
    <w:rsid w:val="002626BE"/>
    <w:rsid w:val="00264462"/>
    <w:rsid w:val="00277DB2"/>
    <w:rsid w:val="00282F2B"/>
    <w:rsid w:val="00290E53"/>
    <w:rsid w:val="00293EC8"/>
    <w:rsid w:val="00295606"/>
    <w:rsid w:val="002A1BA3"/>
    <w:rsid w:val="002A406A"/>
    <w:rsid w:val="002C3153"/>
    <w:rsid w:val="002C6FDB"/>
    <w:rsid w:val="002D53AE"/>
    <w:rsid w:val="002D6446"/>
    <w:rsid w:val="002E54A7"/>
    <w:rsid w:val="00305A53"/>
    <w:rsid w:val="003070B9"/>
    <w:rsid w:val="0032429D"/>
    <w:rsid w:val="00331B1B"/>
    <w:rsid w:val="003376D7"/>
    <w:rsid w:val="00340E7F"/>
    <w:rsid w:val="00343F6F"/>
    <w:rsid w:val="003536E9"/>
    <w:rsid w:val="00355C4F"/>
    <w:rsid w:val="003637E4"/>
    <w:rsid w:val="00377457"/>
    <w:rsid w:val="00385ABD"/>
    <w:rsid w:val="003936E6"/>
    <w:rsid w:val="003B3705"/>
    <w:rsid w:val="003B69CE"/>
    <w:rsid w:val="003B6F0E"/>
    <w:rsid w:val="003C74CE"/>
    <w:rsid w:val="003C7A8C"/>
    <w:rsid w:val="003D4B50"/>
    <w:rsid w:val="003E03CA"/>
    <w:rsid w:val="003E6F9E"/>
    <w:rsid w:val="003F4710"/>
    <w:rsid w:val="0040030D"/>
    <w:rsid w:val="00400FE0"/>
    <w:rsid w:val="004030E9"/>
    <w:rsid w:val="00403E90"/>
    <w:rsid w:val="00406AB5"/>
    <w:rsid w:val="004160E3"/>
    <w:rsid w:val="00430858"/>
    <w:rsid w:val="00432A1E"/>
    <w:rsid w:val="00432FBA"/>
    <w:rsid w:val="004358DE"/>
    <w:rsid w:val="0043600D"/>
    <w:rsid w:val="004367F8"/>
    <w:rsid w:val="00436DB5"/>
    <w:rsid w:val="00473681"/>
    <w:rsid w:val="004737E1"/>
    <w:rsid w:val="00473B9B"/>
    <w:rsid w:val="00473C1C"/>
    <w:rsid w:val="0047608C"/>
    <w:rsid w:val="004A6290"/>
    <w:rsid w:val="004B08A3"/>
    <w:rsid w:val="004B68A8"/>
    <w:rsid w:val="004C6EFC"/>
    <w:rsid w:val="004D3BFF"/>
    <w:rsid w:val="004D4511"/>
    <w:rsid w:val="004D6438"/>
    <w:rsid w:val="004E0F92"/>
    <w:rsid w:val="004E1286"/>
    <w:rsid w:val="004F17C8"/>
    <w:rsid w:val="004F39A1"/>
    <w:rsid w:val="004F78C3"/>
    <w:rsid w:val="00506591"/>
    <w:rsid w:val="0051050E"/>
    <w:rsid w:val="00526D43"/>
    <w:rsid w:val="00534304"/>
    <w:rsid w:val="00542E39"/>
    <w:rsid w:val="00543CC9"/>
    <w:rsid w:val="00543CDF"/>
    <w:rsid w:val="00547D06"/>
    <w:rsid w:val="00551EC0"/>
    <w:rsid w:val="00563F90"/>
    <w:rsid w:val="00580CF2"/>
    <w:rsid w:val="005823C8"/>
    <w:rsid w:val="00595275"/>
    <w:rsid w:val="00595CE4"/>
    <w:rsid w:val="005A4C4F"/>
    <w:rsid w:val="005C0BC3"/>
    <w:rsid w:val="005C427D"/>
    <w:rsid w:val="005C6A5E"/>
    <w:rsid w:val="005C7317"/>
    <w:rsid w:val="005D56AA"/>
    <w:rsid w:val="005D7251"/>
    <w:rsid w:val="005F59C4"/>
    <w:rsid w:val="005F7BAD"/>
    <w:rsid w:val="00601C7D"/>
    <w:rsid w:val="00606AE4"/>
    <w:rsid w:val="00606E60"/>
    <w:rsid w:val="00613AE7"/>
    <w:rsid w:val="00640AAA"/>
    <w:rsid w:val="006500C3"/>
    <w:rsid w:val="00653B4B"/>
    <w:rsid w:val="00661E72"/>
    <w:rsid w:val="00662327"/>
    <w:rsid w:val="006804B2"/>
    <w:rsid w:val="00681BF6"/>
    <w:rsid w:val="00682905"/>
    <w:rsid w:val="00685842"/>
    <w:rsid w:val="00690682"/>
    <w:rsid w:val="006954E4"/>
    <w:rsid w:val="00695ABB"/>
    <w:rsid w:val="006A3211"/>
    <w:rsid w:val="006A61F2"/>
    <w:rsid w:val="006B0746"/>
    <w:rsid w:val="006B115B"/>
    <w:rsid w:val="006D6D98"/>
    <w:rsid w:val="006D7161"/>
    <w:rsid w:val="006F496A"/>
    <w:rsid w:val="006F663F"/>
    <w:rsid w:val="006F79A3"/>
    <w:rsid w:val="00700529"/>
    <w:rsid w:val="00700A8A"/>
    <w:rsid w:val="007077B8"/>
    <w:rsid w:val="007206C7"/>
    <w:rsid w:val="00743A48"/>
    <w:rsid w:val="00746B03"/>
    <w:rsid w:val="00747658"/>
    <w:rsid w:val="00747D3F"/>
    <w:rsid w:val="007660CF"/>
    <w:rsid w:val="007815B2"/>
    <w:rsid w:val="00784C70"/>
    <w:rsid w:val="00787065"/>
    <w:rsid w:val="007919ED"/>
    <w:rsid w:val="00791B4E"/>
    <w:rsid w:val="0079695F"/>
    <w:rsid w:val="007A62FF"/>
    <w:rsid w:val="007B0BAE"/>
    <w:rsid w:val="007B5109"/>
    <w:rsid w:val="007B7CD6"/>
    <w:rsid w:val="007E71D6"/>
    <w:rsid w:val="007E75B2"/>
    <w:rsid w:val="007F2AFF"/>
    <w:rsid w:val="0080066B"/>
    <w:rsid w:val="008023EB"/>
    <w:rsid w:val="00805B3E"/>
    <w:rsid w:val="00812406"/>
    <w:rsid w:val="00822505"/>
    <w:rsid w:val="00853B0C"/>
    <w:rsid w:val="008564FF"/>
    <w:rsid w:val="00860778"/>
    <w:rsid w:val="0086427C"/>
    <w:rsid w:val="00865A7B"/>
    <w:rsid w:val="0088281F"/>
    <w:rsid w:val="00882A97"/>
    <w:rsid w:val="00893CF3"/>
    <w:rsid w:val="00893D4D"/>
    <w:rsid w:val="0089589D"/>
    <w:rsid w:val="008A1DC4"/>
    <w:rsid w:val="008A253D"/>
    <w:rsid w:val="008A7699"/>
    <w:rsid w:val="008E274A"/>
    <w:rsid w:val="008F14CF"/>
    <w:rsid w:val="008F4D22"/>
    <w:rsid w:val="0090673B"/>
    <w:rsid w:val="009068B9"/>
    <w:rsid w:val="0092114E"/>
    <w:rsid w:val="00922118"/>
    <w:rsid w:val="00926843"/>
    <w:rsid w:val="00931D07"/>
    <w:rsid w:val="00934689"/>
    <w:rsid w:val="0094273F"/>
    <w:rsid w:val="00946DCC"/>
    <w:rsid w:val="009502E1"/>
    <w:rsid w:val="0095274B"/>
    <w:rsid w:val="00957CC3"/>
    <w:rsid w:val="009606BA"/>
    <w:rsid w:val="009623A4"/>
    <w:rsid w:val="009754E6"/>
    <w:rsid w:val="00982A38"/>
    <w:rsid w:val="00987B94"/>
    <w:rsid w:val="009A5706"/>
    <w:rsid w:val="009C5B07"/>
    <w:rsid w:val="009C7EA5"/>
    <w:rsid w:val="009D2681"/>
    <w:rsid w:val="009D5706"/>
    <w:rsid w:val="009D6E26"/>
    <w:rsid w:val="009E23CB"/>
    <w:rsid w:val="009E35A9"/>
    <w:rsid w:val="009E6787"/>
    <w:rsid w:val="009F3626"/>
    <w:rsid w:val="00A02D45"/>
    <w:rsid w:val="00A03BB6"/>
    <w:rsid w:val="00A06A10"/>
    <w:rsid w:val="00A13203"/>
    <w:rsid w:val="00A178B5"/>
    <w:rsid w:val="00A44D21"/>
    <w:rsid w:val="00A450F9"/>
    <w:rsid w:val="00A46E77"/>
    <w:rsid w:val="00A52A34"/>
    <w:rsid w:val="00A56377"/>
    <w:rsid w:val="00A618C4"/>
    <w:rsid w:val="00A83C88"/>
    <w:rsid w:val="00A93E17"/>
    <w:rsid w:val="00A9502D"/>
    <w:rsid w:val="00AA503F"/>
    <w:rsid w:val="00AA694A"/>
    <w:rsid w:val="00AB2023"/>
    <w:rsid w:val="00AB415E"/>
    <w:rsid w:val="00AB683E"/>
    <w:rsid w:val="00AC4056"/>
    <w:rsid w:val="00AC6294"/>
    <w:rsid w:val="00AC7488"/>
    <w:rsid w:val="00AC7D0F"/>
    <w:rsid w:val="00AD6F46"/>
    <w:rsid w:val="00AE3508"/>
    <w:rsid w:val="00AF145F"/>
    <w:rsid w:val="00AF3B5A"/>
    <w:rsid w:val="00AF579C"/>
    <w:rsid w:val="00AF7CF1"/>
    <w:rsid w:val="00B003C7"/>
    <w:rsid w:val="00B061B4"/>
    <w:rsid w:val="00B179C8"/>
    <w:rsid w:val="00B31C9A"/>
    <w:rsid w:val="00B5235F"/>
    <w:rsid w:val="00B540A0"/>
    <w:rsid w:val="00B72856"/>
    <w:rsid w:val="00B730F3"/>
    <w:rsid w:val="00B7656C"/>
    <w:rsid w:val="00B94898"/>
    <w:rsid w:val="00BB1D4C"/>
    <w:rsid w:val="00BB3A6D"/>
    <w:rsid w:val="00BB63BC"/>
    <w:rsid w:val="00BB78F0"/>
    <w:rsid w:val="00BC3298"/>
    <w:rsid w:val="00BD1AEA"/>
    <w:rsid w:val="00BD4435"/>
    <w:rsid w:val="00BE0506"/>
    <w:rsid w:val="00BE1A94"/>
    <w:rsid w:val="00BF311E"/>
    <w:rsid w:val="00C032D6"/>
    <w:rsid w:val="00C07E4D"/>
    <w:rsid w:val="00C110C2"/>
    <w:rsid w:val="00C12FD2"/>
    <w:rsid w:val="00C250D9"/>
    <w:rsid w:val="00C557DA"/>
    <w:rsid w:val="00C570BD"/>
    <w:rsid w:val="00C65EBF"/>
    <w:rsid w:val="00CA1CE4"/>
    <w:rsid w:val="00CB4415"/>
    <w:rsid w:val="00CB6C7E"/>
    <w:rsid w:val="00CD25CD"/>
    <w:rsid w:val="00CE4B4A"/>
    <w:rsid w:val="00D05B6F"/>
    <w:rsid w:val="00D07843"/>
    <w:rsid w:val="00D13317"/>
    <w:rsid w:val="00D151F1"/>
    <w:rsid w:val="00D16474"/>
    <w:rsid w:val="00D320C8"/>
    <w:rsid w:val="00D417D7"/>
    <w:rsid w:val="00D4312B"/>
    <w:rsid w:val="00D455FF"/>
    <w:rsid w:val="00D45ECC"/>
    <w:rsid w:val="00D51FB3"/>
    <w:rsid w:val="00D7461E"/>
    <w:rsid w:val="00D831EC"/>
    <w:rsid w:val="00D85587"/>
    <w:rsid w:val="00D9509C"/>
    <w:rsid w:val="00DA10B9"/>
    <w:rsid w:val="00DA234C"/>
    <w:rsid w:val="00DA5179"/>
    <w:rsid w:val="00DA78B9"/>
    <w:rsid w:val="00DB165D"/>
    <w:rsid w:val="00DB4A43"/>
    <w:rsid w:val="00DC4455"/>
    <w:rsid w:val="00DC6790"/>
    <w:rsid w:val="00E040C0"/>
    <w:rsid w:val="00E04A5E"/>
    <w:rsid w:val="00E10D35"/>
    <w:rsid w:val="00E160CD"/>
    <w:rsid w:val="00E17A3B"/>
    <w:rsid w:val="00E21FD1"/>
    <w:rsid w:val="00E26821"/>
    <w:rsid w:val="00E31843"/>
    <w:rsid w:val="00E41A8C"/>
    <w:rsid w:val="00E52A36"/>
    <w:rsid w:val="00E56520"/>
    <w:rsid w:val="00E6424F"/>
    <w:rsid w:val="00E6561E"/>
    <w:rsid w:val="00E809CD"/>
    <w:rsid w:val="00E83406"/>
    <w:rsid w:val="00E8631F"/>
    <w:rsid w:val="00E87CF1"/>
    <w:rsid w:val="00E934F8"/>
    <w:rsid w:val="00E9536C"/>
    <w:rsid w:val="00EA5267"/>
    <w:rsid w:val="00EA57F4"/>
    <w:rsid w:val="00EB5844"/>
    <w:rsid w:val="00EB7CA2"/>
    <w:rsid w:val="00EC226F"/>
    <w:rsid w:val="00EC2DED"/>
    <w:rsid w:val="00EE12E4"/>
    <w:rsid w:val="00EE7ED0"/>
    <w:rsid w:val="00EF0CE1"/>
    <w:rsid w:val="00EF3439"/>
    <w:rsid w:val="00F05BFC"/>
    <w:rsid w:val="00F107EF"/>
    <w:rsid w:val="00F140F8"/>
    <w:rsid w:val="00F2250B"/>
    <w:rsid w:val="00F31FFD"/>
    <w:rsid w:val="00F36011"/>
    <w:rsid w:val="00F368C4"/>
    <w:rsid w:val="00F4025D"/>
    <w:rsid w:val="00F465C7"/>
    <w:rsid w:val="00F557CE"/>
    <w:rsid w:val="00F603EF"/>
    <w:rsid w:val="00F62638"/>
    <w:rsid w:val="00F64BC7"/>
    <w:rsid w:val="00F77D2F"/>
    <w:rsid w:val="00F820A4"/>
    <w:rsid w:val="00F826BE"/>
    <w:rsid w:val="00F829E3"/>
    <w:rsid w:val="00F86FA0"/>
    <w:rsid w:val="00F931FD"/>
    <w:rsid w:val="00FA52EB"/>
    <w:rsid w:val="00FA76C0"/>
    <w:rsid w:val="00FE22A8"/>
    <w:rsid w:val="00FF4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CAD89"/>
  <w15:chartTrackingRefBased/>
  <w15:docId w15:val="{C6FBE747-A0EC-49DA-89DA-7FBAEFE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1E"/>
    <w:rPr>
      <w:rFonts w:ascii="Times New Roman" w:hAnsi="Times New Roman"/>
      <w:sz w:val="22"/>
    </w:rPr>
  </w:style>
  <w:style w:type="paragraph" w:styleId="Heading1">
    <w:name w:val="heading 1"/>
    <w:basedOn w:val="Normal"/>
    <w:next w:val="Normal"/>
    <w:link w:val="Heading1Char"/>
    <w:uiPriority w:val="9"/>
    <w:qFormat/>
    <w:rsid w:val="00E6561E"/>
    <w:pPr>
      <w:pBdr>
        <w:top w:val="single" w:sz="24" w:space="0" w:color="5A0000" w:themeColor="accent1"/>
        <w:left w:val="single" w:sz="24" w:space="0" w:color="5A0000" w:themeColor="accent1"/>
        <w:bottom w:val="single" w:sz="24" w:space="0" w:color="5A0000" w:themeColor="accent1"/>
        <w:right w:val="single" w:sz="24" w:space="0" w:color="5A0000" w:themeColor="accent1"/>
      </w:pBdr>
      <w:shd w:val="clear" w:color="auto" w:fill="5A0000"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semiHidden/>
    <w:unhideWhenUsed/>
    <w:qFormat/>
    <w:rsid w:val="00E6561E"/>
    <w:pPr>
      <w:pBdr>
        <w:top w:val="single" w:sz="24" w:space="0" w:color="FFABAB" w:themeColor="accent1" w:themeTint="33"/>
        <w:left w:val="single" w:sz="24" w:space="0" w:color="FFABAB" w:themeColor="accent1" w:themeTint="33"/>
        <w:bottom w:val="single" w:sz="24" w:space="0" w:color="FFABAB" w:themeColor="accent1" w:themeTint="33"/>
        <w:right w:val="single" w:sz="24" w:space="0" w:color="FFABAB" w:themeColor="accent1" w:themeTint="33"/>
      </w:pBdr>
      <w:shd w:val="clear" w:color="auto" w:fill="FFABA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6561E"/>
    <w:pPr>
      <w:pBdr>
        <w:top w:val="single" w:sz="6" w:space="2" w:color="5A0000" w:themeColor="accent1"/>
      </w:pBdr>
      <w:spacing w:before="300" w:after="0"/>
      <w:outlineLvl w:val="2"/>
    </w:pPr>
    <w:rPr>
      <w:caps/>
      <w:color w:val="2C0000" w:themeColor="accent1" w:themeShade="7F"/>
      <w:spacing w:val="15"/>
    </w:rPr>
  </w:style>
  <w:style w:type="paragraph" w:styleId="Heading4">
    <w:name w:val="heading 4"/>
    <w:basedOn w:val="Normal"/>
    <w:next w:val="Normal"/>
    <w:link w:val="Heading4Char"/>
    <w:uiPriority w:val="9"/>
    <w:unhideWhenUsed/>
    <w:qFormat/>
    <w:rsid w:val="00E6561E"/>
    <w:pPr>
      <w:pBdr>
        <w:top w:val="dotted" w:sz="6" w:space="2" w:color="5A0000" w:themeColor="accent1"/>
      </w:pBdr>
      <w:spacing w:before="200" w:after="0"/>
      <w:outlineLvl w:val="3"/>
    </w:pPr>
    <w:rPr>
      <w:caps/>
      <w:color w:val="430000" w:themeColor="accent1" w:themeShade="BF"/>
      <w:spacing w:val="10"/>
    </w:rPr>
  </w:style>
  <w:style w:type="paragraph" w:styleId="Heading5">
    <w:name w:val="heading 5"/>
    <w:basedOn w:val="Normal"/>
    <w:next w:val="Normal"/>
    <w:link w:val="Heading5Char"/>
    <w:uiPriority w:val="9"/>
    <w:semiHidden/>
    <w:unhideWhenUsed/>
    <w:qFormat/>
    <w:rsid w:val="00E6561E"/>
    <w:pPr>
      <w:pBdr>
        <w:bottom w:val="single" w:sz="6" w:space="1" w:color="5A0000" w:themeColor="accent1"/>
      </w:pBdr>
      <w:spacing w:before="200" w:after="0"/>
      <w:outlineLvl w:val="4"/>
    </w:pPr>
    <w:rPr>
      <w:caps/>
      <w:color w:val="430000" w:themeColor="accent1" w:themeShade="BF"/>
      <w:spacing w:val="10"/>
    </w:rPr>
  </w:style>
  <w:style w:type="paragraph" w:styleId="Heading6">
    <w:name w:val="heading 6"/>
    <w:basedOn w:val="Normal"/>
    <w:next w:val="Normal"/>
    <w:link w:val="Heading6Char"/>
    <w:uiPriority w:val="9"/>
    <w:semiHidden/>
    <w:unhideWhenUsed/>
    <w:qFormat/>
    <w:rsid w:val="00E6561E"/>
    <w:pPr>
      <w:pBdr>
        <w:bottom w:val="dotted" w:sz="6" w:space="1" w:color="5A0000" w:themeColor="accent1"/>
      </w:pBdr>
      <w:spacing w:before="200" w:after="0"/>
      <w:outlineLvl w:val="5"/>
    </w:pPr>
    <w:rPr>
      <w:caps/>
      <w:color w:val="430000" w:themeColor="accent1" w:themeShade="BF"/>
      <w:spacing w:val="10"/>
    </w:rPr>
  </w:style>
  <w:style w:type="paragraph" w:styleId="Heading7">
    <w:name w:val="heading 7"/>
    <w:basedOn w:val="Normal"/>
    <w:next w:val="Normal"/>
    <w:link w:val="Heading7Char"/>
    <w:uiPriority w:val="9"/>
    <w:semiHidden/>
    <w:unhideWhenUsed/>
    <w:qFormat/>
    <w:rsid w:val="00E6561E"/>
    <w:pPr>
      <w:spacing w:before="200" w:after="0"/>
      <w:outlineLvl w:val="6"/>
    </w:pPr>
    <w:rPr>
      <w:caps/>
      <w:color w:val="430000" w:themeColor="accent1" w:themeShade="BF"/>
      <w:spacing w:val="10"/>
    </w:rPr>
  </w:style>
  <w:style w:type="paragraph" w:styleId="Heading8">
    <w:name w:val="heading 8"/>
    <w:basedOn w:val="Normal"/>
    <w:next w:val="Normal"/>
    <w:link w:val="Heading8Char"/>
    <w:uiPriority w:val="9"/>
    <w:semiHidden/>
    <w:unhideWhenUsed/>
    <w:qFormat/>
    <w:rsid w:val="00E6561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561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C3153"/>
    <w:pPr>
      <w:ind w:left="720"/>
      <w:contextualSpacing/>
    </w:pPr>
  </w:style>
  <w:style w:type="character" w:styleId="Hyperlink">
    <w:name w:val="Hyperlink"/>
    <w:basedOn w:val="DefaultParagraphFont"/>
    <w:uiPriority w:val="99"/>
    <w:unhideWhenUsed/>
    <w:rsid w:val="00432A1E"/>
    <w:rPr>
      <w:color w:val="0563C1" w:themeColor="hyperlink"/>
      <w:u w:val="single"/>
    </w:rPr>
  </w:style>
  <w:style w:type="paragraph" w:customStyle="1" w:styleId="Default">
    <w:name w:val="Default"/>
    <w:rsid w:val="009502E1"/>
    <w:pPr>
      <w:autoSpaceDE w:val="0"/>
      <w:autoSpaceDN w:val="0"/>
      <w:adjustRightInd w:val="0"/>
      <w:spacing w:after="0" w:line="240" w:lineRule="auto"/>
    </w:pPr>
    <w:rPr>
      <w:rFonts w:ascii="Cambria" w:eastAsia="Calibri" w:hAnsi="Cambria" w:cs="Cambria"/>
      <w:color w:val="000000"/>
      <w:sz w:val="24"/>
      <w:szCs w:val="24"/>
    </w:rPr>
  </w:style>
  <w:style w:type="paragraph" w:customStyle="1" w:styleId="CM8">
    <w:name w:val="CM8"/>
    <w:basedOn w:val="Default"/>
    <w:next w:val="Default"/>
    <w:uiPriority w:val="99"/>
    <w:rsid w:val="007206C7"/>
    <w:pPr>
      <w:widowControl w:val="0"/>
    </w:pPr>
    <w:rPr>
      <w:rFonts w:ascii="Times New Roman" w:eastAsia="MS Mincho" w:hAnsi="Times New Roman" w:cs="Times New Roman"/>
      <w:color w:val="auto"/>
    </w:rPr>
  </w:style>
  <w:style w:type="character" w:customStyle="1" w:styleId="apple-converted-space">
    <w:name w:val="apple-converted-space"/>
    <w:rsid w:val="008A7699"/>
  </w:style>
  <w:style w:type="paragraph" w:styleId="Header">
    <w:name w:val="header"/>
    <w:basedOn w:val="Normal"/>
    <w:link w:val="HeaderChar"/>
    <w:uiPriority w:val="99"/>
    <w:unhideWhenUsed/>
    <w:rsid w:val="008A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99"/>
  </w:style>
  <w:style w:type="paragraph" w:styleId="Footer">
    <w:name w:val="footer"/>
    <w:basedOn w:val="Normal"/>
    <w:link w:val="FooterChar"/>
    <w:uiPriority w:val="99"/>
    <w:unhideWhenUsed/>
    <w:rsid w:val="008A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99"/>
  </w:style>
  <w:style w:type="paragraph" w:styleId="NormalWeb">
    <w:name w:val="Normal (Web)"/>
    <w:basedOn w:val="Normal"/>
    <w:uiPriority w:val="99"/>
    <w:unhideWhenUsed/>
    <w:rsid w:val="004F17C8"/>
    <w:pPr>
      <w:spacing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F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5A"/>
    <w:rPr>
      <w:rFonts w:ascii="Segoe UI" w:hAnsi="Segoe UI" w:cs="Segoe UI"/>
      <w:sz w:val="18"/>
      <w:szCs w:val="18"/>
    </w:rPr>
  </w:style>
  <w:style w:type="character" w:styleId="CommentReference">
    <w:name w:val="annotation reference"/>
    <w:basedOn w:val="DefaultParagraphFont"/>
    <w:uiPriority w:val="99"/>
    <w:semiHidden/>
    <w:unhideWhenUsed/>
    <w:rsid w:val="00097253"/>
    <w:rPr>
      <w:sz w:val="16"/>
      <w:szCs w:val="16"/>
    </w:rPr>
  </w:style>
  <w:style w:type="paragraph" w:styleId="CommentText">
    <w:name w:val="annotation text"/>
    <w:basedOn w:val="Normal"/>
    <w:link w:val="CommentTextChar"/>
    <w:uiPriority w:val="99"/>
    <w:semiHidden/>
    <w:unhideWhenUsed/>
    <w:rsid w:val="00097253"/>
    <w:pPr>
      <w:spacing w:line="240" w:lineRule="auto"/>
    </w:pPr>
    <w:rPr>
      <w:sz w:val="20"/>
    </w:rPr>
  </w:style>
  <w:style w:type="character" w:customStyle="1" w:styleId="CommentTextChar">
    <w:name w:val="Comment Text Char"/>
    <w:basedOn w:val="DefaultParagraphFont"/>
    <w:link w:val="CommentText"/>
    <w:uiPriority w:val="99"/>
    <w:semiHidden/>
    <w:rsid w:val="00097253"/>
    <w:rPr>
      <w:sz w:val="20"/>
      <w:szCs w:val="20"/>
    </w:rPr>
  </w:style>
  <w:style w:type="paragraph" w:styleId="CommentSubject">
    <w:name w:val="annotation subject"/>
    <w:basedOn w:val="CommentText"/>
    <w:next w:val="CommentText"/>
    <w:link w:val="CommentSubjectChar"/>
    <w:uiPriority w:val="99"/>
    <w:semiHidden/>
    <w:unhideWhenUsed/>
    <w:rsid w:val="00097253"/>
    <w:rPr>
      <w:b/>
      <w:bCs/>
    </w:rPr>
  </w:style>
  <w:style w:type="character" w:customStyle="1" w:styleId="CommentSubjectChar">
    <w:name w:val="Comment Subject Char"/>
    <w:basedOn w:val="CommentTextChar"/>
    <w:link w:val="CommentSubject"/>
    <w:uiPriority w:val="99"/>
    <w:semiHidden/>
    <w:rsid w:val="00097253"/>
    <w:rPr>
      <w:b/>
      <w:bCs/>
      <w:sz w:val="20"/>
      <w:szCs w:val="20"/>
    </w:rPr>
  </w:style>
  <w:style w:type="character" w:styleId="FollowedHyperlink">
    <w:name w:val="FollowedHyperlink"/>
    <w:basedOn w:val="DefaultParagraphFont"/>
    <w:uiPriority w:val="99"/>
    <w:semiHidden/>
    <w:unhideWhenUsed/>
    <w:rsid w:val="00097253"/>
    <w:rPr>
      <w:color w:val="954F72" w:themeColor="followedHyperlink"/>
      <w:u w:val="single"/>
    </w:rPr>
  </w:style>
  <w:style w:type="character" w:customStyle="1" w:styleId="Heading4Char">
    <w:name w:val="Heading 4 Char"/>
    <w:basedOn w:val="DefaultParagraphFont"/>
    <w:link w:val="Heading4"/>
    <w:uiPriority w:val="9"/>
    <w:rsid w:val="00E6561E"/>
    <w:rPr>
      <w:caps/>
      <w:color w:val="430000" w:themeColor="accent1" w:themeShade="BF"/>
      <w:spacing w:val="10"/>
    </w:rPr>
  </w:style>
  <w:style w:type="character" w:customStyle="1" w:styleId="Heading2Char">
    <w:name w:val="Heading 2 Char"/>
    <w:basedOn w:val="DefaultParagraphFont"/>
    <w:link w:val="Heading2"/>
    <w:uiPriority w:val="9"/>
    <w:rsid w:val="00E6561E"/>
    <w:rPr>
      <w:caps/>
      <w:spacing w:val="15"/>
      <w:shd w:val="clear" w:color="auto" w:fill="FFABAB" w:themeFill="accent1" w:themeFillTint="33"/>
    </w:rPr>
  </w:style>
  <w:style w:type="character" w:customStyle="1" w:styleId="Heading3Char">
    <w:name w:val="Heading 3 Char"/>
    <w:basedOn w:val="DefaultParagraphFont"/>
    <w:link w:val="Heading3"/>
    <w:uiPriority w:val="9"/>
    <w:semiHidden/>
    <w:rsid w:val="00E6561E"/>
    <w:rPr>
      <w:caps/>
      <w:color w:val="2C0000" w:themeColor="accent1" w:themeShade="7F"/>
      <w:spacing w:val="15"/>
    </w:rPr>
  </w:style>
  <w:style w:type="character" w:customStyle="1" w:styleId="Heading1Char">
    <w:name w:val="Heading 1 Char"/>
    <w:basedOn w:val="DefaultParagraphFont"/>
    <w:link w:val="Heading1"/>
    <w:uiPriority w:val="9"/>
    <w:rsid w:val="00E6561E"/>
    <w:rPr>
      <w:rFonts w:ascii="Times New Roman" w:hAnsi="Times New Roman"/>
      <w:b/>
      <w:caps/>
      <w:color w:val="FFFFFF" w:themeColor="background1"/>
      <w:spacing w:val="15"/>
      <w:sz w:val="22"/>
      <w:szCs w:val="22"/>
      <w:shd w:val="clear" w:color="auto" w:fill="5A0000" w:themeFill="accent1"/>
    </w:rPr>
  </w:style>
  <w:style w:type="character" w:customStyle="1" w:styleId="Heading5Char">
    <w:name w:val="Heading 5 Char"/>
    <w:basedOn w:val="DefaultParagraphFont"/>
    <w:link w:val="Heading5"/>
    <w:uiPriority w:val="9"/>
    <w:semiHidden/>
    <w:rsid w:val="00E6561E"/>
    <w:rPr>
      <w:caps/>
      <w:color w:val="430000" w:themeColor="accent1" w:themeShade="BF"/>
      <w:spacing w:val="10"/>
    </w:rPr>
  </w:style>
  <w:style w:type="character" w:customStyle="1" w:styleId="Heading6Char">
    <w:name w:val="Heading 6 Char"/>
    <w:basedOn w:val="DefaultParagraphFont"/>
    <w:link w:val="Heading6"/>
    <w:uiPriority w:val="9"/>
    <w:semiHidden/>
    <w:rsid w:val="00E6561E"/>
    <w:rPr>
      <w:caps/>
      <w:color w:val="430000" w:themeColor="accent1" w:themeShade="BF"/>
      <w:spacing w:val="10"/>
    </w:rPr>
  </w:style>
  <w:style w:type="character" w:customStyle="1" w:styleId="Heading7Char">
    <w:name w:val="Heading 7 Char"/>
    <w:basedOn w:val="DefaultParagraphFont"/>
    <w:link w:val="Heading7"/>
    <w:uiPriority w:val="9"/>
    <w:semiHidden/>
    <w:rsid w:val="00E6561E"/>
    <w:rPr>
      <w:caps/>
      <w:color w:val="430000" w:themeColor="accent1" w:themeShade="BF"/>
      <w:spacing w:val="10"/>
    </w:rPr>
  </w:style>
  <w:style w:type="character" w:customStyle="1" w:styleId="Heading8Char">
    <w:name w:val="Heading 8 Char"/>
    <w:basedOn w:val="DefaultParagraphFont"/>
    <w:link w:val="Heading8"/>
    <w:uiPriority w:val="9"/>
    <w:semiHidden/>
    <w:rsid w:val="00E6561E"/>
    <w:rPr>
      <w:caps/>
      <w:spacing w:val="10"/>
      <w:sz w:val="18"/>
      <w:szCs w:val="18"/>
    </w:rPr>
  </w:style>
  <w:style w:type="character" w:customStyle="1" w:styleId="Heading9Char">
    <w:name w:val="Heading 9 Char"/>
    <w:basedOn w:val="DefaultParagraphFont"/>
    <w:link w:val="Heading9"/>
    <w:uiPriority w:val="9"/>
    <w:semiHidden/>
    <w:rsid w:val="00E6561E"/>
    <w:rPr>
      <w:i/>
      <w:iCs/>
      <w:caps/>
      <w:spacing w:val="10"/>
      <w:sz w:val="18"/>
      <w:szCs w:val="18"/>
    </w:rPr>
  </w:style>
  <w:style w:type="paragraph" w:styleId="Caption">
    <w:name w:val="caption"/>
    <w:basedOn w:val="Normal"/>
    <w:next w:val="Normal"/>
    <w:uiPriority w:val="35"/>
    <w:semiHidden/>
    <w:unhideWhenUsed/>
    <w:qFormat/>
    <w:rsid w:val="00E6561E"/>
    <w:rPr>
      <w:b/>
      <w:bCs/>
      <w:color w:val="430000" w:themeColor="accent1" w:themeShade="BF"/>
      <w:sz w:val="16"/>
      <w:szCs w:val="16"/>
    </w:rPr>
  </w:style>
  <w:style w:type="paragraph" w:styleId="Title">
    <w:name w:val="Title"/>
    <w:basedOn w:val="Normal"/>
    <w:next w:val="Normal"/>
    <w:link w:val="TitleChar"/>
    <w:uiPriority w:val="10"/>
    <w:qFormat/>
    <w:rsid w:val="00E6561E"/>
    <w:pPr>
      <w:spacing w:before="0" w:after="0"/>
    </w:pPr>
    <w:rPr>
      <w:rFonts w:asciiTheme="majorHAnsi" w:eastAsiaTheme="majorEastAsia" w:hAnsiTheme="majorHAnsi" w:cstheme="majorBidi"/>
      <w:caps/>
      <w:color w:val="5A0000" w:themeColor="accent1"/>
      <w:spacing w:val="10"/>
      <w:sz w:val="52"/>
      <w:szCs w:val="52"/>
    </w:rPr>
  </w:style>
  <w:style w:type="character" w:customStyle="1" w:styleId="TitleChar">
    <w:name w:val="Title Char"/>
    <w:basedOn w:val="DefaultParagraphFont"/>
    <w:link w:val="Title"/>
    <w:uiPriority w:val="10"/>
    <w:rsid w:val="00E6561E"/>
    <w:rPr>
      <w:rFonts w:asciiTheme="majorHAnsi" w:eastAsiaTheme="majorEastAsia" w:hAnsiTheme="majorHAnsi" w:cstheme="majorBidi"/>
      <w:caps/>
      <w:color w:val="5A0000" w:themeColor="accent1"/>
      <w:spacing w:val="10"/>
      <w:sz w:val="52"/>
      <w:szCs w:val="52"/>
    </w:rPr>
  </w:style>
  <w:style w:type="paragraph" w:styleId="Subtitle">
    <w:name w:val="Subtitle"/>
    <w:basedOn w:val="Normal"/>
    <w:next w:val="Normal"/>
    <w:link w:val="SubtitleChar"/>
    <w:uiPriority w:val="11"/>
    <w:qFormat/>
    <w:rsid w:val="00E6561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6561E"/>
    <w:rPr>
      <w:caps/>
      <w:color w:val="595959" w:themeColor="text1" w:themeTint="A6"/>
      <w:spacing w:val="10"/>
      <w:sz w:val="21"/>
      <w:szCs w:val="21"/>
    </w:rPr>
  </w:style>
  <w:style w:type="character" w:styleId="Strong">
    <w:name w:val="Strong"/>
    <w:uiPriority w:val="22"/>
    <w:qFormat/>
    <w:rsid w:val="00E6561E"/>
    <w:rPr>
      <w:b/>
      <w:bCs/>
    </w:rPr>
  </w:style>
  <w:style w:type="character" w:styleId="Emphasis">
    <w:name w:val="Emphasis"/>
    <w:uiPriority w:val="20"/>
    <w:qFormat/>
    <w:rsid w:val="00E6561E"/>
    <w:rPr>
      <w:caps/>
      <w:color w:val="2C0000" w:themeColor="accent1" w:themeShade="7F"/>
      <w:spacing w:val="5"/>
    </w:rPr>
  </w:style>
  <w:style w:type="paragraph" w:styleId="NoSpacing">
    <w:name w:val="No Spacing"/>
    <w:link w:val="NoSpacingChar"/>
    <w:uiPriority w:val="1"/>
    <w:qFormat/>
    <w:rsid w:val="00E6561E"/>
    <w:pPr>
      <w:spacing w:after="0" w:line="240" w:lineRule="auto"/>
    </w:pPr>
  </w:style>
  <w:style w:type="paragraph" w:styleId="Quote">
    <w:name w:val="Quote"/>
    <w:basedOn w:val="Normal"/>
    <w:next w:val="Normal"/>
    <w:link w:val="QuoteChar"/>
    <w:uiPriority w:val="29"/>
    <w:qFormat/>
    <w:rsid w:val="00E6561E"/>
    <w:rPr>
      <w:i/>
      <w:iCs/>
      <w:sz w:val="24"/>
      <w:szCs w:val="24"/>
    </w:rPr>
  </w:style>
  <w:style w:type="character" w:customStyle="1" w:styleId="QuoteChar">
    <w:name w:val="Quote Char"/>
    <w:basedOn w:val="DefaultParagraphFont"/>
    <w:link w:val="Quote"/>
    <w:uiPriority w:val="29"/>
    <w:rsid w:val="00E6561E"/>
    <w:rPr>
      <w:i/>
      <w:iCs/>
      <w:sz w:val="24"/>
      <w:szCs w:val="24"/>
    </w:rPr>
  </w:style>
  <w:style w:type="paragraph" w:styleId="IntenseQuote">
    <w:name w:val="Intense Quote"/>
    <w:basedOn w:val="Normal"/>
    <w:next w:val="Normal"/>
    <w:link w:val="IntenseQuoteChar"/>
    <w:uiPriority w:val="30"/>
    <w:qFormat/>
    <w:rsid w:val="00E6561E"/>
    <w:pPr>
      <w:spacing w:before="240" w:after="240" w:line="240" w:lineRule="auto"/>
      <w:ind w:left="1080" w:right="1080"/>
      <w:jc w:val="center"/>
    </w:pPr>
    <w:rPr>
      <w:color w:val="5A0000" w:themeColor="accent1"/>
      <w:sz w:val="24"/>
      <w:szCs w:val="24"/>
    </w:rPr>
  </w:style>
  <w:style w:type="character" w:customStyle="1" w:styleId="IntenseQuoteChar">
    <w:name w:val="Intense Quote Char"/>
    <w:basedOn w:val="DefaultParagraphFont"/>
    <w:link w:val="IntenseQuote"/>
    <w:uiPriority w:val="30"/>
    <w:rsid w:val="00E6561E"/>
    <w:rPr>
      <w:color w:val="5A0000" w:themeColor="accent1"/>
      <w:sz w:val="24"/>
      <w:szCs w:val="24"/>
    </w:rPr>
  </w:style>
  <w:style w:type="character" w:styleId="SubtleEmphasis">
    <w:name w:val="Subtle Emphasis"/>
    <w:uiPriority w:val="19"/>
    <w:qFormat/>
    <w:rsid w:val="00E6561E"/>
    <w:rPr>
      <w:i/>
      <w:iCs/>
      <w:color w:val="2C0000" w:themeColor="accent1" w:themeShade="7F"/>
    </w:rPr>
  </w:style>
  <w:style w:type="character" w:styleId="IntenseEmphasis">
    <w:name w:val="Intense Emphasis"/>
    <w:uiPriority w:val="21"/>
    <w:qFormat/>
    <w:rsid w:val="00E6561E"/>
    <w:rPr>
      <w:b/>
      <w:bCs/>
      <w:caps/>
      <w:color w:val="2C0000" w:themeColor="accent1" w:themeShade="7F"/>
      <w:spacing w:val="10"/>
    </w:rPr>
  </w:style>
  <w:style w:type="character" w:styleId="SubtleReference">
    <w:name w:val="Subtle Reference"/>
    <w:uiPriority w:val="31"/>
    <w:qFormat/>
    <w:rsid w:val="00E6561E"/>
    <w:rPr>
      <w:b/>
      <w:bCs/>
      <w:color w:val="5A0000" w:themeColor="accent1"/>
    </w:rPr>
  </w:style>
  <w:style w:type="character" w:styleId="IntenseReference">
    <w:name w:val="Intense Reference"/>
    <w:uiPriority w:val="32"/>
    <w:qFormat/>
    <w:rsid w:val="00E6561E"/>
    <w:rPr>
      <w:b/>
      <w:bCs/>
      <w:i/>
      <w:iCs/>
      <w:caps/>
      <w:color w:val="5A0000" w:themeColor="accent1"/>
    </w:rPr>
  </w:style>
  <w:style w:type="character" w:styleId="BookTitle">
    <w:name w:val="Book Title"/>
    <w:uiPriority w:val="33"/>
    <w:qFormat/>
    <w:rsid w:val="00E6561E"/>
    <w:rPr>
      <w:b/>
      <w:bCs/>
      <w:i/>
      <w:iCs/>
      <w:spacing w:val="0"/>
    </w:rPr>
  </w:style>
  <w:style w:type="paragraph" w:styleId="TOCHeading">
    <w:name w:val="TOC Heading"/>
    <w:basedOn w:val="Heading1"/>
    <w:next w:val="Normal"/>
    <w:uiPriority w:val="39"/>
    <w:semiHidden/>
    <w:unhideWhenUsed/>
    <w:qFormat/>
    <w:rsid w:val="00E6561E"/>
    <w:pPr>
      <w:outlineLvl w:val="9"/>
    </w:pPr>
  </w:style>
  <w:style w:type="character" w:customStyle="1" w:styleId="spelle">
    <w:name w:val="spelle"/>
    <w:basedOn w:val="DefaultParagraphFont"/>
    <w:rsid w:val="000C7FB0"/>
  </w:style>
  <w:style w:type="paragraph" w:styleId="PlainText">
    <w:name w:val="Plain Text"/>
    <w:basedOn w:val="Normal"/>
    <w:link w:val="PlainTextChar"/>
    <w:rsid w:val="00E21FD1"/>
    <w:pPr>
      <w:spacing w:before="0"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E21FD1"/>
    <w:rPr>
      <w:rFonts w:ascii="Courier New" w:eastAsia="Times New Roman" w:hAnsi="Courier New" w:cs="Courier New"/>
    </w:rPr>
  </w:style>
  <w:style w:type="paragraph" w:customStyle="1" w:styleId="paragraph">
    <w:name w:val="paragraph"/>
    <w:basedOn w:val="Normal"/>
    <w:rsid w:val="003C74CE"/>
    <w:pPr>
      <w:spacing w:beforeAutospacing="1" w:after="100" w:afterAutospacing="1" w:line="240" w:lineRule="auto"/>
    </w:pPr>
    <w:rPr>
      <w:rFonts w:ascii="Calibri" w:eastAsiaTheme="minorHAnsi" w:hAnsi="Calibri" w:cs="Calibri"/>
      <w:szCs w:val="22"/>
    </w:rPr>
  </w:style>
  <w:style w:type="character" w:customStyle="1" w:styleId="normaltextrun">
    <w:name w:val="normaltextrun"/>
    <w:basedOn w:val="DefaultParagraphFont"/>
    <w:rsid w:val="003C74CE"/>
  </w:style>
  <w:style w:type="character" w:customStyle="1" w:styleId="eop">
    <w:name w:val="eop"/>
    <w:basedOn w:val="DefaultParagraphFont"/>
    <w:rsid w:val="003C74CE"/>
  </w:style>
  <w:style w:type="character" w:styleId="UnresolvedMention">
    <w:name w:val="Unresolved Mention"/>
    <w:basedOn w:val="DefaultParagraphFont"/>
    <w:uiPriority w:val="99"/>
    <w:semiHidden/>
    <w:unhideWhenUsed/>
    <w:rsid w:val="00C557DA"/>
    <w:rPr>
      <w:color w:val="605E5C"/>
      <w:shd w:val="clear" w:color="auto" w:fill="E1DFDD"/>
    </w:rPr>
  </w:style>
  <w:style w:type="paragraph" w:customStyle="1" w:styleId="Normal1">
    <w:name w:val="Normal1"/>
    <w:rsid w:val="00946DCC"/>
    <w:pPr>
      <w:spacing w:before="0" w:after="0"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uiPriority w:val="34"/>
    <w:qFormat/>
    <w:rsid w:val="004F78C3"/>
    <w:pPr>
      <w:spacing w:before="0"/>
      <w:ind w:left="720"/>
      <w:contextualSpacing/>
    </w:pPr>
    <w:rPr>
      <w:rFonts w:ascii="Calibri" w:eastAsia="MS Mincho" w:hAnsi="Calibri" w:cs="Times New Roman"/>
      <w:szCs w:val="22"/>
    </w:rPr>
  </w:style>
  <w:style w:type="paragraph" w:customStyle="1" w:styleId="MediumGrid21">
    <w:name w:val="Medium Grid 21"/>
    <w:uiPriority w:val="1"/>
    <w:qFormat/>
    <w:rsid w:val="00D417D7"/>
    <w:pPr>
      <w:spacing w:before="0" w:after="0" w:line="240" w:lineRule="auto"/>
    </w:pPr>
    <w:rPr>
      <w:rFonts w:ascii="Calibri" w:eastAsia="MS Mincho" w:hAnsi="Calibri" w:cs="Times New Roman"/>
      <w:sz w:val="24"/>
      <w:szCs w:val="24"/>
    </w:rPr>
  </w:style>
  <w:style w:type="character" w:customStyle="1" w:styleId="NoSpacingChar">
    <w:name w:val="No Spacing Char"/>
    <w:basedOn w:val="DefaultParagraphFont"/>
    <w:link w:val="NoSpacing"/>
    <w:uiPriority w:val="1"/>
    <w:rsid w:val="0040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161">
      <w:bodyDiv w:val="1"/>
      <w:marLeft w:val="0"/>
      <w:marRight w:val="0"/>
      <w:marTop w:val="0"/>
      <w:marBottom w:val="0"/>
      <w:divBdr>
        <w:top w:val="none" w:sz="0" w:space="0" w:color="auto"/>
        <w:left w:val="none" w:sz="0" w:space="0" w:color="auto"/>
        <w:bottom w:val="none" w:sz="0" w:space="0" w:color="auto"/>
        <w:right w:val="none" w:sz="0" w:space="0" w:color="auto"/>
      </w:divBdr>
    </w:div>
    <w:div w:id="1296989177">
      <w:bodyDiv w:val="1"/>
      <w:marLeft w:val="0"/>
      <w:marRight w:val="0"/>
      <w:marTop w:val="0"/>
      <w:marBottom w:val="0"/>
      <w:divBdr>
        <w:top w:val="none" w:sz="0" w:space="0" w:color="auto"/>
        <w:left w:val="none" w:sz="0" w:space="0" w:color="auto"/>
        <w:bottom w:val="none" w:sz="0" w:space="0" w:color="auto"/>
        <w:right w:val="none" w:sz="0" w:space="0" w:color="auto"/>
      </w:divBdr>
    </w:div>
    <w:div w:id="1454059810">
      <w:bodyDiv w:val="1"/>
      <w:marLeft w:val="0"/>
      <w:marRight w:val="0"/>
      <w:marTop w:val="0"/>
      <w:marBottom w:val="0"/>
      <w:divBdr>
        <w:top w:val="none" w:sz="0" w:space="0" w:color="auto"/>
        <w:left w:val="none" w:sz="0" w:space="0" w:color="auto"/>
        <w:bottom w:val="none" w:sz="0" w:space="0" w:color="auto"/>
        <w:right w:val="none" w:sz="0" w:space="0" w:color="auto"/>
      </w:divBdr>
    </w:div>
    <w:div w:id="1585384344">
      <w:bodyDiv w:val="1"/>
      <w:marLeft w:val="0"/>
      <w:marRight w:val="0"/>
      <w:marTop w:val="0"/>
      <w:marBottom w:val="0"/>
      <w:divBdr>
        <w:top w:val="none" w:sz="0" w:space="0" w:color="auto"/>
        <w:left w:val="none" w:sz="0" w:space="0" w:color="auto"/>
        <w:bottom w:val="none" w:sz="0" w:space="0" w:color="auto"/>
        <w:right w:val="none" w:sz="0" w:space="0" w:color="auto"/>
      </w:divBdr>
    </w:div>
    <w:div w:id="1732069897">
      <w:bodyDiv w:val="1"/>
      <w:marLeft w:val="0"/>
      <w:marRight w:val="0"/>
      <w:marTop w:val="0"/>
      <w:marBottom w:val="0"/>
      <w:divBdr>
        <w:top w:val="none" w:sz="0" w:space="0" w:color="auto"/>
        <w:left w:val="none" w:sz="0" w:space="0" w:color="auto"/>
        <w:bottom w:val="none" w:sz="0" w:space="0" w:color="auto"/>
        <w:right w:val="none" w:sz="0" w:space="0" w:color="auto"/>
      </w:divBdr>
    </w:div>
    <w:div w:id="20162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laghan@tamu.edu" TargetMode="External"/><Relationship Id="rId18" Type="http://schemas.openxmlformats.org/officeDocument/2006/relationships/hyperlink" Target="https://www.governing.com/now/how-american-style-federalism-is-dangerous-to-our-health" TargetMode="External"/><Relationship Id="rId26" Type="http://schemas.openxmlformats.org/officeDocument/2006/relationships/hyperlink" Target="https://student-rules.tamu.edu/rule07" TargetMode="External"/><Relationship Id="rId39" Type="http://schemas.openxmlformats.org/officeDocument/2006/relationships/hyperlink" Target="https://disability.tamu.edu/" TargetMode="External"/><Relationship Id="rId21" Type="http://schemas.openxmlformats.org/officeDocument/2006/relationships/hyperlink" Target="https://www.tamug.edu/studentrules/Academic_Rules/7_Attendance.html" TargetMode="External"/><Relationship Id="rId34" Type="http://schemas.openxmlformats.org/officeDocument/2006/relationships/hyperlink" Target="mailto:hdc@tamu.edu" TargetMode="External"/><Relationship Id="rId42" Type="http://schemas.openxmlformats.org/officeDocument/2006/relationships/hyperlink" Target="https://titleix.tamu.ed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regreview.org/2021/06/07/burris-individual-liberty-public-health-battle-for-nations-soul/" TargetMode="External"/><Relationship Id="rId29" Type="http://schemas.openxmlformats.org/officeDocument/2006/relationships/hyperlink" Target="https://lms.tamu.edu" TargetMode="External"/><Relationship Id="rId11" Type="http://schemas.openxmlformats.org/officeDocument/2006/relationships/image" Target="media/image1.png"/><Relationship Id="rId24" Type="http://schemas.openxmlformats.org/officeDocument/2006/relationships/hyperlink" Target="https://it.tamu.edu/services/academics-and-research/teaching-and-learning-tools/computer-requirements/" TargetMode="External"/><Relationship Id="rId32" Type="http://schemas.openxmlformats.org/officeDocument/2006/relationships/hyperlink" Target="https://it.tamu.edu/services/academics-and-research/teaching-and-learning-tools/computer-requirements/" TargetMode="External"/><Relationship Id="rId37" Type="http://schemas.openxmlformats.org/officeDocument/2006/relationships/hyperlink" Target="https://aggiehonor.tamu.edu/Student-Resources/AHSO-Videos" TargetMode="External"/><Relationship Id="rId40" Type="http://schemas.openxmlformats.org/officeDocument/2006/relationships/hyperlink" Target="https://rules-saps.tamu.edu/PDFs/08.01.01.M1.pdf" TargetMode="External"/><Relationship Id="rId45" Type="http://schemas.openxmlformats.org/officeDocument/2006/relationships/hyperlink" Target="http://registrar.tamu.edu/Catalogs%2C-Policies-Procedures/FERPA/FERPA-Notice-to-Student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texasmonthly.com/articles/scientist-stop-measles-texas/" TargetMode="External"/><Relationship Id="rId31" Type="http://schemas.openxmlformats.org/officeDocument/2006/relationships/hyperlink" Target="https://keeplearning.tamu.edu/" TargetMode="External"/><Relationship Id="rId44" Type="http://schemas.openxmlformats.org/officeDocument/2006/relationships/hyperlink" Target="https://howdy.tamu.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tter.soccer2@tamu.edu" TargetMode="External"/><Relationship Id="rId22" Type="http://schemas.openxmlformats.org/officeDocument/2006/relationships/hyperlink" Target="https://student-rules.tamu.edu/rule07/" TargetMode="External"/><Relationship Id="rId27" Type="http://schemas.openxmlformats.org/officeDocument/2006/relationships/hyperlink" Target="https://student-rules.tamu.edu/rule07" TargetMode="External"/><Relationship Id="rId30" Type="http://schemas.openxmlformats.org/officeDocument/2006/relationships/hyperlink" Target="https://community.canvaslms.com/docs/DOC-10701-canvas-student-guide-table-of-contents" TargetMode="External"/><Relationship Id="rId35" Type="http://schemas.openxmlformats.org/officeDocument/2006/relationships/hyperlink" Target="https://aggiehonor.tamu.edu/Rules-and-Procedures/Rules/Honor-System-Rules" TargetMode="External"/><Relationship Id="rId43" Type="http://schemas.openxmlformats.org/officeDocument/2006/relationships/hyperlink" Target="https://suicidepreventionlifeline.org/"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cid:image002.png@01D65F6E.A4475D70" TargetMode="External"/><Relationship Id="rId17" Type="http://schemas.openxmlformats.org/officeDocument/2006/relationships/hyperlink" Target="https://www.propublica.org/article/inside-the-fall-of-the-cdc" TargetMode="External"/><Relationship Id="rId25" Type="http://schemas.openxmlformats.org/officeDocument/2006/relationships/hyperlink" Target="https://student-rules.tamu.edu/rule07/" TargetMode="External"/><Relationship Id="rId33" Type="http://schemas.openxmlformats.org/officeDocument/2006/relationships/hyperlink" Target="https://public-health.tamu.edu/academic-tech/com-requirement.html" TargetMode="External"/><Relationship Id="rId38" Type="http://schemas.openxmlformats.org/officeDocument/2006/relationships/hyperlink" Target="https://library.tamu.edu/services/library_tutorials/academic_integrity/index.html" TargetMode="External"/><Relationship Id="rId46" Type="http://schemas.openxmlformats.org/officeDocument/2006/relationships/header" Target="header1.xml"/><Relationship Id="rId20" Type="http://schemas.openxmlformats.org/officeDocument/2006/relationships/hyperlink" Target="https://student-rules.tamu.edu/rule08/" TargetMode="External"/><Relationship Id="rId41" Type="http://schemas.openxmlformats.org/officeDocument/2006/relationships/hyperlink" Target="https://caps.tamu.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s.org/sgp/crs/misc/R40846.pdf" TargetMode="External"/><Relationship Id="rId23" Type="http://schemas.openxmlformats.org/officeDocument/2006/relationships/hyperlink" Target="http://student-rules.tamu.edu/rule07" TargetMode="External"/><Relationship Id="rId28" Type="http://schemas.openxmlformats.org/officeDocument/2006/relationships/hyperlink" Target="https://student-rules.tamu.edu/rule24/" TargetMode="External"/><Relationship Id="rId36" Type="http://schemas.openxmlformats.org/officeDocument/2006/relationships/hyperlink" Target="https://aggiehonor.tamu.edu/"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BSPH">
      <a:dk1>
        <a:sysClr val="windowText" lastClr="000000"/>
      </a:dk1>
      <a:lt1>
        <a:sysClr val="window" lastClr="FFFFFF"/>
      </a:lt1>
      <a:dk2>
        <a:srgbClr val="44546A"/>
      </a:dk2>
      <a:lt2>
        <a:srgbClr val="E7E6E6"/>
      </a:lt2>
      <a:accent1>
        <a:srgbClr val="5A0000"/>
      </a:accent1>
      <a:accent2>
        <a:srgbClr val="006600"/>
      </a:accent2>
      <a:accent3>
        <a:srgbClr val="000099"/>
      </a:accent3>
      <a:accent4>
        <a:srgbClr val="FFC000"/>
      </a:accent4>
      <a:accent5>
        <a:srgbClr val="7030A0"/>
      </a:accent5>
      <a:accent6>
        <a:srgbClr val="FF996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9c27ab-5fd8-4700-9393-0b08db227470">
      <UserInfo>
        <DisplayName>Callaghan, Timothy H</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783707EFEC74C8CB5B4B545DC276B" ma:contentTypeVersion="6" ma:contentTypeDescription="Create a new document." ma:contentTypeScope="" ma:versionID="62b2270a01c3e166b9e9fd7ca01b1259">
  <xsd:schema xmlns:xsd="http://www.w3.org/2001/XMLSchema" xmlns:xs="http://www.w3.org/2001/XMLSchema" xmlns:p="http://schemas.microsoft.com/office/2006/metadata/properties" xmlns:ns2="e49c27ab-5fd8-4700-9393-0b08db227470" xmlns:ns3="5c219ec3-e438-4b3e-bcef-321c0aa637e1" targetNamespace="http://schemas.microsoft.com/office/2006/metadata/properties" ma:root="true" ma:fieldsID="6cce200c38368672f0d3669a12fc8dba" ns2:_="" ns3:_="">
    <xsd:import namespace="e49c27ab-5fd8-4700-9393-0b08db227470"/>
    <xsd:import namespace="5c219ec3-e438-4b3e-bcef-321c0aa637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27ab-5fd8-4700-9393-0b08db227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19ec3-e438-4b3e-bcef-321c0aa637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0E047-2CC9-43DA-A1A3-A035A263E956}">
  <ds:schemaRefs>
    <ds:schemaRef ds:uri="http://schemas.microsoft.com/office/2006/metadata/properties"/>
    <ds:schemaRef ds:uri="http://schemas.microsoft.com/office/infopath/2007/PartnerControls"/>
    <ds:schemaRef ds:uri="e49c27ab-5fd8-4700-9393-0b08db227470"/>
  </ds:schemaRefs>
</ds:datastoreItem>
</file>

<file path=customXml/itemProps2.xml><?xml version="1.0" encoding="utf-8"?>
<ds:datastoreItem xmlns:ds="http://schemas.openxmlformats.org/officeDocument/2006/customXml" ds:itemID="{85F8E517-DD85-4D5A-97C8-6A47D7C3C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27ab-5fd8-4700-9393-0b08db227470"/>
    <ds:schemaRef ds:uri="5c219ec3-e438-4b3e-bcef-321c0aa63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5AE56-5731-41CC-AA82-A1EC53C610F9}">
  <ds:schemaRefs>
    <ds:schemaRef ds:uri="http://schemas.openxmlformats.org/officeDocument/2006/bibliography"/>
  </ds:schemaRefs>
</ds:datastoreItem>
</file>

<file path=customXml/itemProps4.xml><?xml version="1.0" encoding="utf-8"?>
<ds:datastoreItem xmlns:ds="http://schemas.openxmlformats.org/officeDocument/2006/customXml" ds:itemID="{FE5D35FF-2AA4-47A5-9269-C9E4C0F07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7032</Words>
  <Characters>40084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Jennifer M.</dc:creator>
  <cp:keywords/>
  <dc:description/>
  <cp:lastModifiedBy>Callaghan, Timothy H</cp:lastModifiedBy>
  <cp:revision>31</cp:revision>
  <cp:lastPrinted>2019-07-18T18:31:00Z</cp:lastPrinted>
  <dcterms:created xsi:type="dcterms:W3CDTF">2022-01-04T19:14:00Z</dcterms:created>
  <dcterms:modified xsi:type="dcterms:W3CDTF">2022-01-14T14:08:00Z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0x010100EE6783707EFEC74C8CB5B4B545DC276B</vt:lpwstr>
  </property>
</Properties>
</file>